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D55" w:rsidRPr="005F207B" w:rsidRDefault="005E05EA">
      <w:pPr>
        <w:rPr>
          <w:b/>
          <w:sz w:val="32"/>
        </w:rPr>
      </w:pPr>
      <w:r w:rsidRPr="005F207B">
        <w:rPr>
          <w:b/>
          <w:sz w:val="32"/>
        </w:rPr>
        <w:t>Politikzyklus-Puzzle</w:t>
      </w:r>
    </w:p>
    <w:p w:rsidR="005F207B" w:rsidRDefault="005F207B"/>
    <w:p w:rsidR="005F207B" w:rsidRPr="005F207B" w:rsidRDefault="005F207B">
      <w:pPr>
        <w:rPr>
          <w:i/>
        </w:rPr>
      </w:pPr>
      <w:r w:rsidRPr="005F207B">
        <w:rPr>
          <w:i/>
        </w:rPr>
        <w:t xml:space="preserve">Das Politikzyklus-Puzzle hat das Ziel, dass die Schüler*innen sich den Ablauf von Politik anhand von einer oder mehrerer Politiken selbstständig erarbeiten können. </w:t>
      </w:r>
    </w:p>
    <w:p w:rsidR="005F207B" w:rsidRDefault="005F207B"/>
    <w:tbl>
      <w:tblPr>
        <w:tblStyle w:val="MittlereListe1"/>
        <w:tblW w:w="9039" w:type="dxa"/>
        <w:tblLook w:val="04A0" w:firstRow="1" w:lastRow="0" w:firstColumn="1" w:lastColumn="0" w:noHBand="0" w:noVBand="1"/>
      </w:tblPr>
      <w:tblGrid>
        <w:gridCol w:w="2376"/>
        <w:gridCol w:w="6663"/>
      </w:tblGrid>
      <w:tr w:rsidR="005F207B" w:rsidTr="009368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000000" w:themeColor="text1"/>
              <w:bottom w:val="nil"/>
            </w:tcBorders>
            <w:shd w:val="clear" w:color="auto" w:fill="C0C0C0"/>
          </w:tcPr>
          <w:p w:rsidR="005F207B" w:rsidRDefault="005F207B" w:rsidP="009368C4">
            <w:pPr>
              <w:rPr>
                <w:b w:val="0"/>
                <w:sz w:val="22"/>
                <w:szCs w:val="22"/>
              </w:rPr>
            </w:pPr>
            <w:r>
              <w:rPr>
                <w:sz w:val="22"/>
                <w:szCs w:val="22"/>
              </w:rPr>
              <w:t>Übungsart</w:t>
            </w:r>
          </w:p>
        </w:tc>
        <w:tc>
          <w:tcPr>
            <w:tcW w:w="6663" w:type="dxa"/>
            <w:tcBorders>
              <w:top w:val="single" w:sz="8" w:space="0" w:color="000000" w:themeColor="text1"/>
              <w:bottom w:val="nil"/>
            </w:tcBorders>
            <w:shd w:val="clear" w:color="auto" w:fill="C0C0C0"/>
          </w:tcPr>
          <w:p w:rsidR="005F207B" w:rsidRPr="006F199F" w:rsidRDefault="005F207B" w:rsidP="009368C4">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Puzzle</w:t>
            </w:r>
          </w:p>
        </w:tc>
      </w:tr>
      <w:tr w:rsidR="005F207B" w:rsidTr="00936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C0C0C0"/>
          </w:tcPr>
          <w:p w:rsidR="005F207B" w:rsidRDefault="005F207B" w:rsidP="009368C4">
            <w:pPr>
              <w:rPr>
                <w:rFonts w:asciiTheme="majorHAnsi" w:hAnsiTheme="majorHAnsi"/>
                <w:b w:val="0"/>
                <w:sz w:val="22"/>
                <w:szCs w:val="22"/>
              </w:rPr>
            </w:pPr>
            <w:r w:rsidRPr="008167FB">
              <w:rPr>
                <w:rFonts w:asciiTheme="majorHAnsi" w:hAnsiTheme="majorHAnsi"/>
                <w:sz w:val="22"/>
                <w:szCs w:val="22"/>
              </w:rPr>
              <w:t>Unterrichtsphase</w:t>
            </w:r>
          </w:p>
        </w:tc>
        <w:tc>
          <w:tcPr>
            <w:tcW w:w="6663" w:type="dxa"/>
            <w:tcBorders>
              <w:top w:val="nil"/>
              <w:bottom w:val="nil"/>
            </w:tcBorders>
            <w:shd w:val="clear" w:color="auto" w:fill="C0C0C0"/>
          </w:tcPr>
          <w:p w:rsidR="005F207B" w:rsidRPr="006F199F" w:rsidRDefault="005F207B" w:rsidP="009368C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Einstieg, Verfestigung, Abschluss</w:t>
            </w:r>
          </w:p>
        </w:tc>
      </w:tr>
      <w:tr w:rsidR="005F207B" w:rsidTr="009368C4">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C0C0C0"/>
          </w:tcPr>
          <w:p w:rsidR="005F207B" w:rsidRDefault="005F207B" w:rsidP="009368C4">
            <w:pPr>
              <w:rPr>
                <w:rFonts w:asciiTheme="majorHAnsi" w:hAnsiTheme="majorHAnsi"/>
                <w:b w:val="0"/>
                <w:sz w:val="22"/>
                <w:szCs w:val="22"/>
              </w:rPr>
            </w:pPr>
            <w:r w:rsidRPr="008167FB">
              <w:rPr>
                <w:rFonts w:asciiTheme="majorHAnsi" w:hAnsiTheme="majorHAnsi"/>
                <w:sz w:val="22"/>
                <w:szCs w:val="22"/>
              </w:rPr>
              <w:t>Sozialform</w:t>
            </w:r>
          </w:p>
        </w:tc>
        <w:tc>
          <w:tcPr>
            <w:tcW w:w="6663" w:type="dxa"/>
            <w:tcBorders>
              <w:top w:val="nil"/>
              <w:bottom w:val="nil"/>
            </w:tcBorders>
            <w:shd w:val="clear" w:color="auto" w:fill="C0C0C0"/>
          </w:tcPr>
          <w:p w:rsidR="005F207B" w:rsidRPr="006F199F" w:rsidRDefault="005F207B" w:rsidP="009368C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Gruppenarbeit</w:t>
            </w:r>
          </w:p>
        </w:tc>
      </w:tr>
      <w:tr w:rsidR="005F207B" w:rsidTr="00936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C0C0C0"/>
          </w:tcPr>
          <w:p w:rsidR="005F207B" w:rsidRDefault="005F207B" w:rsidP="009368C4">
            <w:pPr>
              <w:rPr>
                <w:rFonts w:asciiTheme="majorHAnsi" w:hAnsiTheme="majorHAnsi"/>
                <w:b w:val="0"/>
                <w:sz w:val="22"/>
                <w:szCs w:val="22"/>
              </w:rPr>
            </w:pPr>
            <w:r w:rsidRPr="008167FB">
              <w:rPr>
                <w:rFonts w:asciiTheme="majorHAnsi" w:hAnsiTheme="majorHAnsi"/>
                <w:sz w:val="22"/>
                <w:szCs w:val="22"/>
              </w:rPr>
              <w:t xml:space="preserve">Zeitaufwand </w:t>
            </w:r>
          </w:p>
        </w:tc>
        <w:tc>
          <w:tcPr>
            <w:tcW w:w="6663" w:type="dxa"/>
            <w:tcBorders>
              <w:top w:val="nil"/>
              <w:bottom w:val="nil"/>
            </w:tcBorders>
            <w:shd w:val="clear" w:color="auto" w:fill="C0C0C0"/>
          </w:tcPr>
          <w:p w:rsidR="005F207B" w:rsidRPr="006F199F" w:rsidRDefault="005F207B" w:rsidP="009368C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mittel</w:t>
            </w:r>
          </w:p>
        </w:tc>
      </w:tr>
      <w:tr w:rsidR="005F207B" w:rsidTr="009368C4">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C0C0C0"/>
          </w:tcPr>
          <w:p w:rsidR="005F207B" w:rsidRPr="008167FB" w:rsidRDefault="005F207B" w:rsidP="009368C4">
            <w:pPr>
              <w:rPr>
                <w:rFonts w:asciiTheme="majorHAnsi" w:hAnsiTheme="majorHAnsi"/>
                <w:b w:val="0"/>
                <w:sz w:val="22"/>
                <w:szCs w:val="22"/>
              </w:rPr>
            </w:pPr>
            <w:r w:rsidRPr="008167FB">
              <w:rPr>
                <w:rFonts w:asciiTheme="majorHAnsi" w:hAnsiTheme="majorHAnsi"/>
                <w:sz w:val="22"/>
                <w:szCs w:val="22"/>
              </w:rPr>
              <w:t>Materialaufwand</w:t>
            </w:r>
          </w:p>
        </w:tc>
        <w:tc>
          <w:tcPr>
            <w:tcW w:w="6663" w:type="dxa"/>
            <w:tcBorders>
              <w:top w:val="nil"/>
              <w:bottom w:val="nil"/>
            </w:tcBorders>
            <w:shd w:val="clear" w:color="auto" w:fill="C0C0C0"/>
          </w:tcPr>
          <w:p w:rsidR="005F207B" w:rsidRPr="006F199F" w:rsidRDefault="005F207B" w:rsidP="009368C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mittel</w:t>
            </w:r>
          </w:p>
        </w:tc>
      </w:tr>
      <w:tr w:rsidR="005F207B" w:rsidTr="00936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C0C0C0"/>
          </w:tcPr>
          <w:p w:rsidR="005F207B" w:rsidRPr="008167FB" w:rsidRDefault="005F207B" w:rsidP="009368C4">
            <w:pPr>
              <w:rPr>
                <w:rFonts w:asciiTheme="majorHAnsi" w:hAnsiTheme="majorHAnsi"/>
                <w:b w:val="0"/>
                <w:sz w:val="22"/>
                <w:szCs w:val="22"/>
              </w:rPr>
            </w:pPr>
          </w:p>
        </w:tc>
        <w:tc>
          <w:tcPr>
            <w:tcW w:w="6663" w:type="dxa"/>
            <w:tcBorders>
              <w:top w:val="nil"/>
              <w:bottom w:val="nil"/>
            </w:tcBorders>
            <w:shd w:val="clear" w:color="auto" w:fill="C0C0C0"/>
          </w:tcPr>
          <w:p w:rsidR="005F207B" w:rsidRPr="006F199F" w:rsidRDefault="005F207B" w:rsidP="009368C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bl>
    <w:p w:rsidR="005F207B" w:rsidRDefault="005F207B"/>
    <w:p w:rsidR="005F207B" w:rsidRPr="005F207B" w:rsidRDefault="005F207B">
      <w:pPr>
        <w:rPr>
          <w:b/>
        </w:rPr>
      </w:pPr>
      <w:r w:rsidRPr="005F207B">
        <w:rPr>
          <w:b/>
        </w:rPr>
        <w:t>Praxishinweis</w:t>
      </w:r>
    </w:p>
    <w:p w:rsidR="005F207B" w:rsidRDefault="005F207B"/>
    <w:p w:rsidR="005F207B" w:rsidRDefault="005F207B">
      <w:r>
        <w:t xml:space="preserve">Den Kleingruppen werden jeweils die ausgeschnittenen Schnipsel von einem Politikzyklus gegeben. Sie erhalten die Aufgabe, die Phasen in die richtige Reihenfolge zu bringen und mit dem passenden Titel zu versehen. Man kann die Aufgabe als Einstieg oder zur Verfestigung oder zum Abschluss machen. Je nachdem an welcher Stelle man sie durchführt, muss man mehr oder weniger zu den Stationen sagen. </w:t>
      </w:r>
    </w:p>
    <w:p w:rsidR="005F207B" w:rsidRDefault="005F207B">
      <w:r>
        <w:t xml:space="preserve">Man kann auch jeder Gruppe eine unterschiedliche Maßnahme geben und diese dann vorstellen lassen. So lernen die Schüler*innen gleich mehrere Politikbereiche der EU kennen. Ein möglicher Anschluss wäre hier, über die Zuständigkeiten der EU zu sprechen. </w:t>
      </w:r>
    </w:p>
    <w:p w:rsidR="005F207B" w:rsidRDefault="005F207B"/>
    <w:p w:rsidR="005F207B" w:rsidRDefault="005F207B">
      <w:r>
        <w:t xml:space="preserve">Wenn man weniger Zeit- und Materialaufwand haben möchte, kann man auch die Politikzyklen als Arbeitsblatt verteilen. </w:t>
      </w:r>
    </w:p>
    <w:p w:rsidR="005F207B" w:rsidRDefault="005F207B"/>
    <w:p w:rsidR="005F207B" w:rsidRDefault="005F207B">
      <w:pPr>
        <w:rPr>
          <w:b/>
        </w:rPr>
      </w:pPr>
      <w:r w:rsidRPr="005F207B">
        <w:rPr>
          <w:b/>
        </w:rPr>
        <w:t>Anlagen</w:t>
      </w:r>
    </w:p>
    <w:p w:rsidR="005F207B" w:rsidRPr="005F207B" w:rsidRDefault="005F207B">
      <w:pPr>
        <w:rPr>
          <w:b/>
        </w:rPr>
      </w:pPr>
    </w:p>
    <w:p w:rsidR="005F207B" w:rsidRDefault="005F207B" w:rsidP="005F207B">
      <w:pPr>
        <w:pStyle w:val="Listenabsatz"/>
        <w:numPr>
          <w:ilvl w:val="0"/>
          <w:numId w:val="2"/>
        </w:numPr>
      </w:pPr>
      <w:r>
        <w:t>Glühbirnen-Verordnung</w:t>
      </w:r>
    </w:p>
    <w:p w:rsidR="005F207B" w:rsidRDefault="005F207B" w:rsidP="005F207B">
      <w:pPr>
        <w:pStyle w:val="Listenabsatz"/>
        <w:numPr>
          <w:ilvl w:val="0"/>
          <w:numId w:val="2"/>
        </w:numPr>
      </w:pPr>
      <w:r>
        <w:t>Eier-Verordnung</w:t>
      </w:r>
    </w:p>
    <w:p w:rsidR="005F207B" w:rsidRDefault="005F207B" w:rsidP="005F207B">
      <w:pPr>
        <w:pStyle w:val="Listenabsatz"/>
        <w:numPr>
          <w:ilvl w:val="0"/>
          <w:numId w:val="2"/>
        </w:numPr>
      </w:pPr>
      <w:r>
        <w:t>Streaming-Dienst</w:t>
      </w:r>
    </w:p>
    <w:p w:rsidR="005F207B" w:rsidRDefault="005F207B" w:rsidP="005F207B">
      <w:pPr>
        <w:pStyle w:val="Listenabsatz"/>
        <w:numPr>
          <w:ilvl w:val="0"/>
          <w:numId w:val="2"/>
        </w:numPr>
      </w:pPr>
      <w:r>
        <w:t>Zugang zu Wasser</w:t>
      </w:r>
    </w:p>
    <w:p w:rsidR="005F207B" w:rsidRDefault="005F207B" w:rsidP="005F207B"/>
    <w:p w:rsidR="005F207B" w:rsidRDefault="005F207B" w:rsidP="005F207B"/>
    <w:p w:rsidR="005F207B" w:rsidRDefault="005F207B" w:rsidP="005F207B"/>
    <w:p w:rsidR="005F207B" w:rsidRDefault="005F207B" w:rsidP="005F207B"/>
    <w:p w:rsidR="005F207B" w:rsidRDefault="005F207B" w:rsidP="005F207B"/>
    <w:p w:rsidR="005F207B" w:rsidRDefault="005F207B" w:rsidP="005F207B"/>
    <w:p w:rsidR="005F207B" w:rsidRDefault="005F207B" w:rsidP="005F207B"/>
    <w:p w:rsidR="005F207B" w:rsidRDefault="005F207B" w:rsidP="005F207B"/>
    <w:p w:rsidR="005F207B" w:rsidRDefault="005F207B" w:rsidP="005F207B"/>
    <w:p w:rsidR="005F207B" w:rsidRDefault="005F207B" w:rsidP="005F207B"/>
    <w:p w:rsidR="005F207B" w:rsidRDefault="005F207B" w:rsidP="005F207B"/>
    <w:p w:rsidR="005F207B" w:rsidRDefault="005F207B" w:rsidP="005F207B"/>
    <w:p w:rsidR="005F207B" w:rsidRDefault="005F207B" w:rsidP="005F207B"/>
    <w:p w:rsidR="005F207B" w:rsidRDefault="005F207B" w:rsidP="005F207B"/>
    <w:p w:rsidR="005F207B" w:rsidRDefault="005F207B" w:rsidP="005F207B"/>
    <w:p w:rsidR="005F207B" w:rsidRDefault="005F207B" w:rsidP="005F207B">
      <w:pPr>
        <w:sectPr w:rsidR="005F207B" w:rsidSect="00DB3C95">
          <w:headerReference w:type="default" r:id="rId7"/>
          <w:pgSz w:w="11900" w:h="16840"/>
          <w:pgMar w:top="1417" w:right="1417" w:bottom="1134" w:left="1417" w:header="708" w:footer="708" w:gutter="0"/>
          <w:cols w:space="708"/>
          <w:docGrid w:linePitch="360"/>
        </w:sectPr>
      </w:pPr>
    </w:p>
    <w:p w:rsidR="005F207B" w:rsidRDefault="005F207B" w:rsidP="005F207B">
      <w:pPr>
        <w:rPr>
          <w:rFonts w:ascii="Calibri" w:hAnsi="Calibri"/>
          <w:b/>
          <w:sz w:val="32"/>
        </w:rPr>
      </w:pPr>
      <w:r w:rsidRPr="00AC1F27">
        <w:rPr>
          <w:rFonts w:ascii="Calibri" w:hAnsi="Calibri"/>
          <w:b/>
          <w:sz w:val="32"/>
        </w:rPr>
        <w:lastRenderedPageBreak/>
        <w:t>Politikzykl</w:t>
      </w:r>
      <w:r>
        <w:rPr>
          <w:rFonts w:ascii="Calibri" w:hAnsi="Calibri"/>
          <w:b/>
          <w:sz w:val="32"/>
        </w:rPr>
        <w:t>us: Glühbirnen-Verordnung</w:t>
      </w:r>
    </w:p>
    <w:p w:rsidR="005F207B" w:rsidRPr="00A4499E" w:rsidRDefault="005F207B" w:rsidP="005F207B">
      <w:pPr>
        <w:rPr>
          <w:rFonts w:ascii="Calibri" w:hAnsi="Calibri"/>
        </w:rPr>
      </w:pPr>
      <w:r w:rsidRPr="00A4499E">
        <w:rPr>
          <w:rFonts w:ascii="Calibri" w:hAnsi="Calibri"/>
          <w:b/>
        </w:rPr>
        <w:t xml:space="preserve">Aufgabe: </w:t>
      </w:r>
      <w:r w:rsidRPr="00A4499E">
        <w:rPr>
          <w:rFonts w:ascii="Calibri" w:hAnsi="Calibri"/>
        </w:rPr>
        <w:t>Suche zu jedem der sechs Schritte des Politikzyklus (links) den passenden Text (rechts) und verbinde diese mit einer Linie.</w:t>
      </w:r>
    </w:p>
    <w:p w:rsidR="005F207B" w:rsidRPr="007E1489" w:rsidRDefault="005F207B" w:rsidP="005F207B">
      <w:pPr>
        <w:rPr>
          <w:rFonts w:ascii="Calibri" w:hAnsi="Calibri"/>
          <w:sz w:val="22"/>
        </w:rPr>
      </w:pPr>
    </w:p>
    <w:tbl>
      <w:tblPr>
        <w:tblStyle w:val="Tabellenraster"/>
        <w:tblW w:w="0" w:type="auto"/>
        <w:tblLook w:val="04A0" w:firstRow="1" w:lastRow="0" w:firstColumn="1" w:lastColumn="0" w:noHBand="0" w:noVBand="1"/>
      </w:tblPr>
      <w:tblGrid>
        <w:gridCol w:w="1696"/>
        <w:gridCol w:w="1985"/>
        <w:gridCol w:w="10598"/>
      </w:tblGrid>
      <w:tr w:rsidR="005F207B" w:rsidRPr="00A4499E" w:rsidTr="009368C4">
        <w:tc>
          <w:tcPr>
            <w:tcW w:w="1696" w:type="dxa"/>
            <w:tcBorders>
              <w:right w:val="single" w:sz="4" w:space="0" w:color="auto"/>
            </w:tcBorders>
          </w:tcPr>
          <w:p w:rsidR="005F207B" w:rsidRPr="00A4499E" w:rsidRDefault="005F207B" w:rsidP="009368C4">
            <w:pPr>
              <w:rPr>
                <w:rFonts w:ascii="Calibri" w:hAnsi="Calibri"/>
                <w:b/>
                <w:sz w:val="22"/>
                <w:szCs w:val="22"/>
              </w:rPr>
            </w:pPr>
            <w:r w:rsidRPr="00A4499E">
              <w:rPr>
                <w:rFonts w:ascii="Calibri" w:hAnsi="Calibri"/>
                <w:b/>
                <w:sz w:val="22"/>
                <w:szCs w:val="22"/>
              </w:rPr>
              <w:t>Problem</w:t>
            </w:r>
          </w:p>
        </w:tc>
        <w:tc>
          <w:tcPr>
            <w:tcW w:w="1985" w:type="dxa"/>
            <w:tcBorders>
              <w:top w:val="nil"/>
              <w:left w:val="single" w:sz="4" w:space="0" w:color="auto"/>
              <w:bottom w:val="nil"/>
              <w:right w:val="single" w:sz="4" w:space="0" w:color="auto"/>
            </w:tcBorders>
          </w:tcPr>
          <w:p w:rsidR="005F207B" w:rsidRPr="00A4499E" w:rsidRDefault="005F207B" w:rsidP="009368C4">
            <w:pPr>
              <w:rPr>
                <w:rFonts w:ascii="Calibri" w:hAnsi="Calibri"/>
                <w:b/>
                <w:sz w:val="22"/>
                <w:szCs w:val="22"/>
              </w:rPr>
            </w:pPr>
          </w:p>
        </w:tc>
        <w:tc>
          <w:tcPr>
            <w:tcW w:w="10598" w:type="dxa"/>
            <w:tcBorders>
              <w:left w:val="single" w:sz="4" w:space="0" w:color="auto"/>
            </w:tcBorders>
          </w:tcPr>
          <w:p w:rsidR="005F207B" w:rsidRPr="00A4499E" w:rsidRDefault="005F207B" w:rsidP="009368C4">
            <w:pPr>
              <w:jc w:val="both"/>
              <w:rPr>
                <w:rFonts w:ascii="Calibri" w:hAnsi="Calibri"/>
                <w:sz w:val="22"/>
                <w:szCs w:val="22"/>
              </w:rPr>
            </w:pPr>
            <w:r w:rsidRPr="00A4499E">
              <w:rPr>
                <w:rFonts w:ascii="Calibri" w:eastAsia="Times New Roman" w:hAnsi="Calibri" w:cs="Times New Roman"/>
                <w:color w:val="1D1D1D"/>
                <w:sz w:val="22"/>
                <w:szCs w:val="22"/>
                <w:shd w:val="clear" w:color="auto" w:fill="FFFFFF"/>
              </w:rPr>
              <w:t xml:space="preserve">In einem </w:t>
            </w:r>
            <w:proofErr w:type="spellStart"/>
            <w:r w:rsidRPr="00A4499E">
              <w:rPr>
                <w:rFonts w:ascii="Calibri" w:eastAsia="Times New Roman" w:hAnsi="Calibri" w:cs="Times New Roman"/>
                <w:color w:val="1D1D1D"/>
                <w:sz w:val="22"/>
                <w:szCs w:val="22"/>
                <w:shd w:val="clear" w:color="auto" w:fill="FFFFFF"/>
              </w:rPr>
              <w:t>mehrschrittigen</w:t>
            </w:r>
            <w:proofErr w:type="spellEnd"/>
            <w:r w:rsidRPr="00A4499E">
              <w:rPr>
                <w:rFonts w:ascii="Calibri" w:eastAsia="Times New Roman" w:hAnsi="Calibri" w:cs="Times New Roman"/>
                <w:color w:val="1D1D1D"/>
                <w:sz w:val="22"/>
                <w:szCs w:val="22"/>
                <w:shd w:val="clear" w:color="auto" w:fill="FFFFFF"/>
              </w:rPr>
              <w:t xml:space="preserve"> Verfahren wurden die Lampen, die nicht den Effizienzkriterien entsprachen, vom europäischen Binnenmarkt genommen. Das heißt sie dürfen weder in der EU produziert und verkauft werden, noch aus dem Ausland in die EU eingeführt und verkauft werden. Zunächst waren ab 1. September 2009 alle Lampen mit einem Verbrauch von über 100 Watt nicht mehr in den Elektronikmärkten verfügbar, ab dem 1. September 2010 alle Lampen mit einem Verbrauch über 75 </w:t>
            </w:r>
            <w:proofErr w:type="gramStart"/>
            <w:r w:rsidRPr="00A4499E">
              <w:rPr>
                <w:rFonts w:ascii="Calibri" w:eastAsia="Times New Roman" w:hAnsi="Calibri" w:cs="Times New Roman"/>
                <w:color w:val="1D1D1D"/>
                <w:sz w:val="22"/>
                <w:szCs w:val="22"/>
                <w:shd w:val="clear" w:color="auto" w:fill="FFFFFF"/>
              </w:rPr>
              <w:t>Watt,...</w:t>
            </w:r>
            <w:proofErr w:type="gramEnd"/>
          </w:p>
        </w:tc>
      </w:tr>
    </w:tbl>
    <w:p w:rsidR="005F207B" w:rsidRPr="00A4499E" w:rsidRDefault="005F207B" w:rsidP="005F207B">
      <w:pPr>
        <w:rPr>
          <w:sz w:val="8"/>
        </w:rPr>
      </w:pPr>
    </w:p>
    <w:tbl>
      <w:tblPr>
        <w:tblStyle w:val="Tabellenraster"/>
        <w:tblW w:w="0" w:type="auto"/>
        <w:tblLook w:val="04A0" w:firstRow="1" w:lastRow="0" w:firstColumn="1" w:lastColumn="0" w:noHBand="0" w:noVBand="1"/>
      </w:tblPr>
      <w:tblGrid>
        <w:gridCol w:w="1696"/>
        <w:gridCol w:w="1985"/>
        <w:gridCol w:w="10598"/>
      </w:tblGrid>
      <w:tr w:rsidR="005F207B" w:rsidRPr="00A4499E" w:rsidTr="009368C4">
        <w:tc>
          <w:tcPr>
            <w:tcW w:w="1696" w:type="dxa"/>
            <w:tcBorders>
              <w:right w:val="single" w:sz="4" w:space="0" w:color="auto"/>
            </w:tcBorders>
          </w:tcPr>
          <w:p w:rsidR="005F207B" w:rsidRPr="00A4499E" w:rsidRDefault="005F207B" w:rsidP="009368C4">
            <w:pPr>
              <w:rPr>
                <w:rFonts w:ascii="Calibri" w:hAnsi="Calibri"/>
                <w:b/>
                <w:sz w:val="22"/>
                <w:szCs w:val="22"/>
              </w:rPr>
            </w:pPr>
            <w:r w:rsidRPr="00A4499E">
              <w:rPr>
                <w:rFonts w:ascii="Calibri" w:hAnsi="Calibri"/>
                <w:b/>
                <w:sz w:val="22"/>
                <w:szCs w:val="22"/>
              </w:rPr>
              <w:t>Artikulation</w:t>
            </w:r>
          </w:p>
        </w:tc>
        <w:tc>
          <w:tcPr>
            <w:tcW w:w="1985" w:type="dxa"/>
            <w:tcBorders>
              <w:top w:val="nil"/>
              <w:left w:val="single" w:sz="4" w:space="0" w:color="auto"/>
              <w:bottom w:val="nil"/>
              <w:right w:val="single" w:sz="4" w:space="0" w:color="auto"/>
            </w:tcBorders>
          </w:tcPr>
          <w:p w:rsidR="005F207B" w:rsidRPr="00A4499E" w:rsidRDefault="005F207B" w:rsidP="009368C4">
            <w:pPr>
              <w:rPr>
                <w:rFonts w:ascii="Calibri" w:hAnsi="Calibri"/>
                <w:b/>
                <w:sz w:val="22"/>
                <w:szCs w:val="22"/>
              </w:rPr>
            </w:pPr>
          </w:p>
        </w:tc>
        <w:tc>
          <w:tcPr>
            <w:tcW w:w="10598" w:type="dxa"/>
            <w:tcBorders>
              <w:left w:val="single" w:sz="4" w:space="0" w:color="auto"/>
            </w:tcBorders>
          </w:tcPr>
          <w:p w:rsidR="005F207B" w:rsidRPr="00A4499E" w:rsidRDefault="005F207B" w:rsidP="009368C4">
            <w:pPr>
              <w:jc w:val="both"/>
              <w:rPr>
                <w:rFonts w:ascii="Calibri" w:hAnsi="Calibri" w:cs="Times New Roman"/>
                <w:sz w:val="22"/>
                <w:szCs w:val="22"/>
              </w:rPr>
            </w:pPr>
            <w:r w:rsidRPr="00A4499E">
              <w:rPr>
                <w:rFonts w:ascii="Calibri" w:eastAsia="Times New Roman" w:hAnsi="Calibri"/>
                <w:color w:val="1D1D1D"/>
                <w:sz w:val="22"/>
                <w:szCs w:val="22"/>
                <w:shd w:val="clear" w:color="auto" w:fill="FFFFFF"/>
              </w:rPr>
              <w:t xml:space="preserve">Der Europäische Rat (Staats- und Regierungschefs) griff auf Anraten Deutschlands das Thema während einer Tagung im März 2007 auf: </w:t>
            </w:r>
            <w:r w:rsidRPr="00A4499E">
              <w:rPr>
                <w:rFonts w:ascii="Calibri" w:hAnsi="Calibri"/>
                <w:sz w:val="22"/>
                <w:szCs w:val="22"/>
              </w:rPr>
              <w:t>„Der Europäische Rat ersucht die Kommission, rasch Vorschläge vorzulegen, damit strengere Energieeffizienzanforderungen für Büro- und Straßenbeleuchtung bis 2008 und für Glühlampen und sonstige Arten von Beleuchtung in Privathaushalten bis 2009 festgelegt werden können.“</w:t>
            </w:r>
          </w:p>
        </w:tc>
      </w:tr>
    </w:tbl>
    <w:p w:rsidR="005F207B" w:rsidRPr="00A4499E"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RPr="00A4499E" w:rsidTr="009368C4">
        <w:tc>
          <w:tcPr>
            <w:tcW w:w="1696" w:type="dxa"/>
            <w:tcBorders>
              <w:right w:val="single" w:sz="4" w:space="0" w:color="auto"/>
            </w:tcBorders>
          </w:tcPr>
          <w:p w:rsidR="005F207B" w:rsidRPr="00A4499E" w:rsidRDefault="005F207B" w:rsidP="009368C4">
            <w:pPr>
              <w:rPr>
                <w:rFonts w:ascii="Calibri" w:hAnsi="Calibri"/>
                <w:b/>
                <w:sz w:val="22"/>
                <w:szCs w:val="22"/>
              </w:rPr>
            </w:pPr>
            <w:r w:rsidRPr="00A4499E">
              <w:rPr>
                <w:rFonts w:ascii="Calibri" w:hAnsi="Calibri"/>
                <w:b/>
                <w:sz w:val="22"/>
                <w:szCs w:val="22"/>
              </w:rPr>
              <w:t>Politische Tagesordnung</w:t>
            </w:r>
          </w:p>
        </w:tc>
        <w:tc>
          <w:tcPr>
            <w:tcW w:w="1985" w:type="dxa"/>
            <w:tcBorders>
              <w:top w:val="nil"/>
              <w:left w:val="single" w:sz="4" w:space="0" w:color="auto"/>
              <w:bottom w:val="nil"/>
              <w:right w:val="single" w:sz="4" w:space="0" w:color="auto"/>
            </w:tcBorders>
          </w:tcPr>
          <w:p w:rsidR="005F207B" w:rsidRPr="00A4499E" w:rsidRDefault="005F207B" w:rsidP="009368C4">
            <w:pPr>
              <w:rPr>
                <w:rFonts w:ascii="Calibri" w:hAnsi="Calibri"/>
                <w:b/>
                <w:sz w:val="22"/>
                <w:szCs w:val="22"/>
              </w:rPr>
            </w:pPr>
          </w:p>
        </w:tc>
        <w:tc>
          <w:tcPr>
            <w:tcW w:w="10598" w:type="dxa"/>
            <w:tcBorders>
              <w:left w:val="single" w:sz="4" w:space="0" w:color="auto"/>
            </w:tcBorders>
          </w:tcPr>
          <w:p w:rsidR="005F207B" w:rsidRPr="00A4499E" w:rsidRDefault="005F207B" w:rsidP="009368C4">
            <w:pPr>
              <w:jc w:val="both"/>
              <w:rPr>
                <w:rFonts w:ascii="Calibri" w:hAnsi="Calibri" w:cs="Times New Roman"/>
                <w:sz w:val="22"/>
                <w:szCs w:val="22"/>
              </w:rPr>
            </w:pPr>
            <w:r w:rsidRPr="00A4499E">
              <w:rPr>
                <w:rFonts w:ascii="Calibri" w:eastAsia="Times New Roman" w:hAnsi="Calibri" w:cs="Times New Roman"/>
                <w:sz w:val="22"/>
                <w:szCs w:val="22"/>
              </w:rPr>
              <w:t xml:space="preserve">Für Deutschland liegen konkrete Zahlen vor - von 2008 bis 2015 ist der Stromverbrauch bei der Haushaltsbeleuchtung um absolut rund ein Viertel zurückgegangen. Damit hatte Deutschland seinen Beitrag von etwa 3,5 </w:t>
            </w:r>
            <w:proofErr w:type="spellStart"/>
            <w:r w:rsidRPr="00A4499E">
              <w:rPr>
                <w:rFonts w:ascii="Calibri" w:eastAsia="Times New Roman" w:hAnsi="Calibri" w:cs="Times New Roman"/>
                <w:sz w:val="22"/>
                <w:szCs w:val="22"/>
              </w:rPr>
              <w:t>Terawattstunden</w:t>
            </w:r>
            <w:proofErr w:type="spellEnd"/>
            <w:r w:rsidRPr="00A4499E">
              <w:rPr>
                <w:rFonts w:ascii="Calibri" w:eastAsia="Times New Roman" w:hAnsi="Calibri" w:cs="Times New Roman"/>
                <w:sz w:val="22"/>
                <w:szCs w:val="22"/>
              </w:rPr>
              <w:t xml:space="preserve"> zum europäischen Sparziel - insgesamt circa 16 </w:t>
            </w:r>
            <w:proofErr w:type="spellStart"/>
            <w:r w:rsidRPr="00A4499E">
              <w:rPr>
                <w:rFonts w:ascii="Calibri" w:eastAsia="Times New Roman" w:hAnsi="Calibri" w:cs="Times New Roman"/>
                <w:sz w:val="22"/>
                <w:szCs w:val="22"/>
              </w:rPr>
              <w:t>Terawattstunden</w:t>
            </w:r>
            <w:proofErr w:type="spellEnd"/>
            <w:r w:rsidRPr="00A4499E">
              <w:rPr>
                <w:rFonts w:ascii="Calibri" w:eastAsia="Times New Roman" w:hAnsi="Calibri" w:cs="Times New Roman"/>
                <w:sz w:val="22"/>
                <w:szCs w:val="22"/>
              </w:rPr>
              <w:t xml:space="preserve"> – 2015 schon fast erfüllt. Bis 2020 fehle nur noch rund eine halbe </w:t>
            </w:r>
            <w:proofErr w:type="spellStart"/>
            <w:r w:rsidRPr="00A4499E">
              <w:rPr>
                <w:rFonts w:ascii="Calibri" w:eastAsia="Times New Roman" w:hAnsi="Calibri" w:cs="Times New Roman"/>
                <w:sz w:val="22"/>
                <w:szCs w:val="22"/>
              </w:rPr>
              <w:t>Terawattstunde</w:t>
            </w:r>
            <w:proofErr w:type="spellEnd"/>
            <w:r w:rsidRPr="00A4499E">
              <w:rPr>
                <w:rFonts w:ascii="Calibri" w:eastAsia="Times New Roman" w:hAnsi="Calibri" w:cs="Times New Roman"/>
                <w:sz w:val="22"/>
                <w:szCs w:val="22"/>
              </w:rPr>
              <w:t xml:space="preserve">. </w:t>
            </w:r>
            <w:r w:rsidRPr="00A4499E">
              <w:rPr>
                <w:rFonts w:ascii="Calibri" w:hAnsi="Calibri" w:cs="Times New Roman"/>
                <w:sz w:val="22"/>
                <w:szCs w:val="22"/>
              </w:rPr>
              <w:t>"Das Glühlampen-Aus ist eine Erfolgsgeschichte", bilanzierte darum eine Vertreterin des Umweltbundesamts. Denn endlich sei der Energieverbrauch in diesem Bereich tatsächlich gesunken.</w:t>
            </w:r>
          </w:p>
        </w:tc>
      </w:tr>
    </w:tbl>
    <w:p w:rsidR="005F207B" w:rsidRPr="00A4499E"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RPr="00A4499E" w:rsidTr="009368C4">
        <w:tc>
          <w:tcPr>
            <w:tcW w:w="1696" w:type="dxa"/>
            <w:tcBorders>
              <w:right w:val="single" w:sz="4" w:space="0" w:color="auto"/>
            </w:tcBorders>
          </w:tcPr>
          <w:p w:rsidR="005F207B" w:rsidRPr="00A4499E" w:rsidRDefault="005F207B" w:rsidP="009368C4">
            <w:pPr>
              <w:rPr>
                <w:rFonts w:ascii="Calibri" w:hAnsi="Calibri"/>
                <w:b/>
                <w:sz w:val="22"/>
                <w:szCs w:val="22"/>
              </w:rPr>
            </w:pPr>
            <w:r w:rsidRPr="00A4499E">
              <w:rPr>
                <w:rFonts w:ascii="Calibri" w:hAnsi="Calibri"/>
                <w:b/>
                <w:sz w:val="22"/>
                <w:szCs w:val="22"/>
              </w:rPr>
              <w:t>Gesetzgebungs-verfahren</w:t>
            </w:r>
          </w:p>
        </w:tc>
        <w:tc>
          <w:tcPr>
            <w:tcW w:w="1985" w:type="dxa"/>
            <w:tcBorders>
              <w:top w:val="nil"/>
              <w:left w:val="single" w:sz="4" w:space="0" w:color="auto"/>
              <w:bottom w:val="nil"/>
              <w:right w:val="single" w:sz="4" w:space="0" w:color="auto"/>
            </w:tcBorders>
          </w:tcPr>
          <w:p w:rsidR="005F207B" w:rsidRPr="00A4499E" w:rsidRDefault="005F207B" w:rsidP="009368C4">
            <w:pPr>
              <w:rPr>
                <w:rFonts w:ascii="Calibri" w:hAnsi="Calibri"/>
                <w:b/>
                <w:sz w:val="22"/>
                <w:szCs w:val="22"/>
              </w:rPr>
            </w:pPr>
          </w:p>
        </w:tc>
        <w:tc>
          <w:tcPr>
            <w:tcW w:w="10598" w:type="dxa"/>
            <w:tcBorders>
              <w:left w:val="single" w:sz="4" w:space="0" w:color="auto"/>
            </w:tcBorders>
          </w:tcPr>
          <w:p w:rsidR="005F207B" w:rsidRPr="00A4499E" w:rsidRDefault="005F207B" w:rsidP="009368C4">
            <w:pPr>
              <w:pStyle w:val="StandardWeb"/>
              <w:jc w:val="both"/>
              <w:rPr>
                <w:rFonts w:ascii="Calibri" w:eastAsia="Times New Roman" w:hAnsi="Calibri"/>
                <w:color w:val="1D1D1D"/>
                <w:sz w:val="22"/>
                <w:szCs w:val="22"/>
                <w:u w:val="single"/>
                <w:shd w:val="clear" w:color="auto" w:fill="FFFFFF"/>
              </w:rPr>
            </w:pPr>
            <w:r w:rsidRPr="00A4499E">
              <w:rPr>
                <w:rFonts w:ascii="Calibri" w:eastAsia="Times New Roman" w:hAnsi="Calibri"/>
                <w:color w:val="1D1D1D"/>
                <w:sz w:val="22"/>
                <w:szCs w:val="22"/>
                <w:shd w:val="clear" w:color="auto" w:fill="FFFFFF"/>
              </w:rPr>
              <w:t xml:space="preserve">Die Europäische Kommission arbeitete die „Ökodesign-Richtlinie“ aus.  Die Richtlinie </w:t>
            </w:r>
            <w:r w:rsidRPr="00A4499E">
              <w:rPr>
                <w:rFonts w:ascii="Calibri" w:hAnsi="Calibri"/>
                <w:bCs/>
                <w:sz w:val="22"/>
                <w:szCs w:val="22"/>
              </w:rPr>
              <w:t xml:space="preserve">2009/125/EG zur Schaffung eines Rahmens für die Festlegung von Anforderungen an die umweltgerechte Gestaltung energieverbrauchsrelevanter Produkte wurde durch den Europäischen Rat und das Europäische Parlament am 21. Oktober 2009 beschlossen. Demnach müssen beispielsweise Lampen eine festgelegte Energieeffizienz aufweisen. </w:t>
            </w:r>
          </w:p>
        </w:tc>
      </w:tr>
    </w:tbl>
    <w:p w:rsidR="005F207B" w:rsidRPr="00A4499E"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RPr="00A4499E" w:rsidTr="009368C4">
        <w:tc>
          <w:tcPr>
            <w:tcW w:w="1696" w:type="dxa"/>
            <w:tcBorders>
              <w:right w:val="single" w:sz="4" w:space="0" w:color="auto"/>
            </w:tcBorders>
          </w:tcPr>
          <w:p w:rsidR="005F207B" w:rsidRPr="00A4499E" w:rsidRDefault="005F207B" w:rsidP="009368C4">
            <w:pPr>
              <w:rPr>
                <w:rFonts w:ascii="Calibri" w:hAnsi="Calibri"/>
                <w:b/>
                <w:sz w:val="22"/>
                <w:szCs w:val="22"/>
              </w:rPr>
            </w:pPr>
            <w:r w:rsidRPr="00A4499E">
              <w:rPr>
                <w:rFonts w:ascii="Calibri" w:hAnsi="Calibri"/>
                <w:b/>
                <w:sz w:val="22"/>
                <w:szCs w:val="22"/>
              </w:rPr>
              <w:t>Umsetzung</w:t>
            </w:r>
          </w:p>
        </w:tc>
        <w:tc>
          <w:tcPr>
            <w:tcW w:w="1985" w:type="dxa"/>
            <w:tcBorders>
              <w:top w:val="nil"/>
              <w:left w:val="single" w:sz="4" w:space="0" w:color="auto"/>
              <w:bottom w:val="nil"/>
              <w:right w:val="single" w:sz="4" w:space="0" w:color="auto"/>
            </w:tcBorders>
          </w:tcPr>
          <w:p w:rsidR="005F207B" w:rsidRPr="00A4499E" w:rsidRDefault="005F207B" w:rsidP="009368C4">
            <w:pPr>
              <w:rPr>
                <w:rFonts w:ascii="Calibri" w:hAnsi="Calibri"/>
                <w:b/>
                <w:sz w:val="22"/>
                <w:szCs w:val="22"/>
              </w:rPr>
            </w:pPr>
          </w:p>
        </w:tc>
        <w:tc>
          <w:tcPr>
            <w:tcW w:w="10598" w:type="dxa"/>
            <w:tcBorders>
              <w:left w:val="single" w:sz="4" w:space="0" w:color="auto"/>
            </w:tcBorders>
          </w:tcPr>
          <w:p w:rsidR="005F207B" w:rsidRPr="00A4499E" w:rsidRDefault="005F207B" w:rsidP="009368C4">
            <w:pPr>
              <w:jc w:val="both"/>
              <w:rPr>
                <w:rFonts w:ascii="Calibri" w:eastAsia="Times New Roman" w:hAnsi="Calibri" w:cs="Times New Roman"/>
                <w:sz w:val="22"/>
                <w:szCs w:val="22"/>
              </w:rPr>
            </w:pPr>
            <w:r w:rsidRPr="00A4499E">
              <w:rPr>
                <w:rFonts w:ascii="Calibri" w:eastAsia="Times New Roman" w:hAnsi="Calibri" w:cs="Times New Roman"/>
                <w:sz w:val="22"/>
                <w:szCs w:val="22"/>
              </w:rPr>
              <w:t>Eine Glühbirne wandelt nur fünf Prozent der verbrauchten Energie in Licht um, der Rest geht über Abwärme verloren. Energiesparlampen verbrauchen etwa drei Viertel weniger Energie.</w:t>
            </w:r>
          </w:p>
        </w:tc>
      </w:tr>
    </w:tbl>
    <w:p w:rsidR="005F207B" w:rsidRPr="00A4499E"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RPr="00A4499E" w:rsidTr="009368C4">
        <w:tc>
          <w:tcPr>
            <w:tcW w:w="1696" w:type="dxa"/>
            <w:tcBorders>
              <w:right w:val="single" w:sz="4" w:space="0" w:color="auto"/>
            </w:tcBorders>
          </w:tcPr>
          <w:p w:rsidR="005F207B" w:rsidRPr="00A4499E" w:rsidRDefault="005F207B" w:rsidP="009368C4">
            <w:pPr>
              <w:rPr>
                <w:rFonts w:ascii="Calibri" w:hAnsi="Calibri"/>
                <w:b/>
                <w:sz w:val="22"/>
                <w:szCs w:val="22"/>
              </w:rPr>
            </w:pPr>
            <w:r w:rsidRPr="00A4499E">
              <w:rPr>
                <w:rFonts w:ascii="Calibri" w:hAnsi="Calibri"/>
                <w:b/>
                <w:sz w:val="22"/>
                <w:szCs w:val="22"/>
              </w:rPr>
              <w:t>Bewertung</w:t>
            </w:r>
          </w:p>
        </w:tc>
        <w:tc>
          <w:tcPr>
            <w:tcW w:w="1985" w:type="dxa"/>
            <w:tcBorders>
              <w:top w:val="nil"/>
              <w:left w:val="single" w:sz="4" w:space="0" w:color="auto"/>
              <w:bottom w:val="nil"/>
              <w:right w:val="single" w:sz="4" w:space="0" w:color="auto"/>
            </w:tcBorders>
          </w:tcPr>
          <w:p w:rsidR="005F207B" w:rsidRPr="00A4499E" w:rsidRDefault="005F207B" w:rsidP="009368C4">
            <w:pPr>
              <w:rPr>
                <w:rFonts w:ascii="Calibri" w:hAnsi="Calibri"/>
                <w:b/>
                <w:sz w:val="22"/>
                <w:szCs w:val="22"/>
              </w:rPr>
            </w:pPr>
          </w:p>
        </w:tc>
        <w:tc>
          <w:tcPr>
            <w:tcW w:w="10598" w:type="dxa"/>
            <w:tcBorders>
              <w:left w:val="single" w:sz="4" w:space="0" w:color="auto"/>
            </w:tcBorders>
          </w:tcPr>
          <w:p w:rsidR="005F207B" w:rsidRPr="00A4499E" w:rsidRDefault="005F207B" w:rsidP="009368C4">
            <w:pPr>
              <w:jc w:val="both"/>
              <w:rPr>
                <w:rFonts w:ascii="Calibri" w:hAnsi="Calibri"/>
                <w:sz w:val="22"/>
                <w:szCs w:val="22"/>
              </w:rPr>
            </w:pPr>
            <w:r w:rsidRPr="00A4499E">
              <w:rPr>
                <w:rFonts w:ascii="Calibri" w:eastAsia="Times New Roman" w:hAnsi="Calibri" w:cs="Times New Roman"/>
                <w:sz w:val="22"/>
                <w:szCs w:val="22"/>
              </w:rPr>
              <w:t>Der damalige deutsche B</w:t>
            </w:r>
            <w:r w:rsidRPr="00A4499E">
              <w:rPr>
                <w:rFonts w:ascii="Calibri" w:eastAsia="Times New Roman" w:hAnsi="Calibri" w:cs="Times New Roman"/>
                <w:color w:val="1D1D1D"/>
                <w:sz w:val="22"/>
                <w:szCs w:val="22"/>
                <w:shd w:val="clear" w:color="auto" w:fill="FFFFFF"/>
              </w:rPr>
              <w:t>undesumweltminister Sigmar Gabriel (SPD) hat EU-Umweltkommissar Stavros Dimas 2007 aufgefordert, herkömmliche Glühbirnen durch neue europaweite Standards vom Markt zu drängen. „Europa kann sich eigentlich keine Produkte mehr leisten, die wie herkömmliche </w:t>
            </w:r>
            <w:hyperlink r:id="rId8" w:tooltip="News und Hintergründe rund um Glühbirnen und Energiesparlampen finden Sie in unserem Themenspecial." w:history="1">
              <w:r w:rsidRPr="00A4499E">
                <w:rPr>
                  <w:rFonts w:ascii="Calibri" w:eastAsia="Times New Roman" w:hAnsi="Calibri" w:cs="Times New Roman"/>
                  <w:color w:val="1D1D1D"/>
                  <w:sz w:val="22"/>
                  <w:szCs w:val="22"/>
                </w:rPr>
                <w:t>Glühbirnen</w:t>
              </w:r>
            </w:hyperlink>
            <w:r w:rsidRPr="00A4499E">
              <w:rPr>
                <w:rFonts w:ascii="Calibri" w:eastAsia="Times New Roman" w:hAnsi="Calibri" w:cs="Times New Roman"/>
                <w:sz w:val="22"/>
                <w:szCs w:val="22"/>
              </w:rPr>
              <w:t xml:space="preserve"> </w:t>
            </w:r>
            <w:r w:rsidRPr="00A4499E">
              <w:rPr>
                <w:rFonts w:ascii="Calibri" w:eastAsia="Times New Roman" w:hAnsi="Calibri" w:cs="Times New Roman"/>
                <w:color w:val="1D1D1D"/>
                <w:sz w:val="22"/>
                <w:szCs w:val="22"/>
                <w:shd w:val="clear" w:color="auto" w:fill="FFFFFF"/>
              </w:rPr>
              <w:t>einen Effizienzgrad von nur fünf Prozent aufweisen“, zitierte „Bild am Sonntag“ aus einem Brief Gabriels an Dimas.</w:t>
            </w:r>
          </w:p>
        </w:tc>
      </w:tr>
    </w:tbl>
    <w:p w:rsidR="005F207B" w:rsidRDefault="005F207B" w:rsidP="005F207B">
      <w:pPr>
        <w:rPr>
          <w:rFonts w:ascii="Calibri" w:hAnsi="Calibri"/>
          <w:b/>
          <w:sz w:val="32"/>
        </w:rPr>
      </w:pPr>
    </w:p>
    <w:p w:rsidR="005F207B" w:rsidRDefault="005F207B" w:rsidP="005F207B">
      <w:pPr>
        <w:rPr>
          <w:rFonts w:ascii="Calibri" w:hAnsi="Calibri"/>
          <w:b/>
          <w:sz w:val="32"/>
        </w:rPr>
      </w:pPr>
    </w:p>
    <w:p w:rsidR="005F207B" w:rsidRDefault="005F207B" w:rsidP="005F207B">
      <w:pPr>
        <w:rPr>
          <w:rFonts w:ascii="Calibri" w:hAnsi="Calibri"/>
          <w:b/>
          <w:sz w:val="32"/>
        </w:rPr>
      </w:pPr>
      <w:r w:rsidRPr="00AC1F27">
        <w:rPr>
          <w:rFonts w:ascii="Calibri" w:hAnsi="Calibri"/>
          <w:b/>
          <w:sz w:val="32"/>
        </w:rPr>
        <w:lastRenderedPageBreak/>
        <w:t>Politikzykl</w:t>
      </w:r>
      <w:r>
        <w:rPr>
          <w:rFonts w:ascii="Calibri" w:hAnsi="Calibri"/>
          <w:b/>
          <w:sz w:val="32"/>
        </w:rPr>
        <w:t>us: Eier-Verordnung</w:t>
      </w:r>
    </w:p>
    <w:p w:rsidR="005F207B" w:rsidRPr="00A4499E" w:rsidRDefault="005F207B" w:rsidP="005F207B">
      <w:pPr>
        <w:rPr>
          <w:rFonts w:ascii="Calibri" w:hAnsi="Calibri"/>
        </w:rPr>
      </w:pPr>
      <w:r w:rsidRPr="00A4499E">
        <w:rPr>
          <w:rFonts w:ascii="Calibri" w:hAnsi="Calibri"/>
          <w:b/>
        </w:rPr>
        <w:t xml:space="preserve">Aufgabe: </w:t>
      </w:r>
      <w:r w:rsidRPr="00A4499E">
        <w:rPr>
          <w:rFonts w:ascii="Calibri" w:hAnsi="Calibri"/>
        </w:rPr>
        <w:t>Suche zu jedem der sechs Schritte des Politikzyklus (links) den passenden Text (rechts) und verbinde diese mit einer Linie.</w:t>
      </w:r>
    </w:p>
    <w:p w:rsidR="005F207B" w:rsidRPr="007E1489" w:rsidRDefault="005F207B" w:rsidP="005F207B">
      <w:pPr>
        <w:rPr>
          <w:rFonts w:ascii="Calibri" w:hAnsi="Calibri"/>
          <w:b/>
          <w:sz w:val="22"/>
        </w:rPr>
      </w:pPr>
    </w:p>
    <w:tbl>
      <w:tblPr>
        <w:tblStyle w:val="Tabellenraster"/>
        <w:tblW w:w="0" w:type="auto"/>
        <w:tblLook w:val="04A0" w:firstRow="1" w:lastRow="0" w:firstColumn="1" w:lastColumn="0" w:noHBand="0" w:noVBand="1"/>
      </w:tblPr>
      <w:tblGrid>
        <w:gridCol w:w="1696"/>
        <w:gridCol w:w="1985"/>
        <w:gridCol w:w="10598"/>
      </w:tblGrid>
      <w:tr w:rsidR="005F207B" w:rsidTr="009368C4">
        <w:tc>
          <w:tcPr>
            <w:tcW w:w="1696" w:type="dxa"/>
            <w:tcBorders>
              <w:right w:val="single" w:sz="4" w:space="0" w:color="auto"/>
            </w:tcBorders>
          </w:tcPr>
          <w:p w:rsidR="005F207B" w:rsidRPr="00123E93" w:rsidRDefault="005F207B" w:rsidP="009368C4">
            <w:pPr>
              <w:rPr>
                <w:rFonts w:ascii="Calibri" w:hAnsi="Calibri"/>
                <w:b/>
                <w:sz w:val="22"/>
                <w:szCs w:val="22"/>
              </w:rPr>
            </w:pPr>
            <w:r w:rsidRPr="00123E93">
              <w:rPr>
                <w:rFonts w:ascii="Calibri" w:hAnsi="Calibri"/>
                <w:b/>
                <w:sz w:val="22"/>
                <w:szCs w:val="22"/>
              </w:rPr>
              <w:t>Problem</w:t>
            </w:r>
          </w:p>
        </w:tc>
        <w:tc>
          <w:tcPr>
            <w:tcW w:w="1985" w:type="dxa"/>
            <w:tcBorders>
              <w:top w:val="nil"/>
              <w:left w:val="single" w:sz="4" w:space="0" w:color="auto"/>
              <w:bottom w:val="nil"/>
              <w:right w:val="single" w:sz="4" w:space="0" w:color="auto"/>
            </w:tcBorders>
          </w:tcPr>
          <w:p w:rsidR="005F207B" w:rsidRPr="00123E93" w:rsidRDefault="005F207B" w:rsidP="009368C4">
            <w:pPr>
              <w:rPr>
                <w:rFonts w:ascii="Calibri" w:hAnsi="Calibri"/>
                <w:b/>
                <w:sz w:val="22"/>
                <w:szCs w:val="22"/>
              </w:rPr>
            </w:pPr>
          </w:p>
        </w:tc>
        <w:tc>
          <w:tcPr>
            <w:tcW w:w="10598" w:type="dxa"/>
            <w:tcBorders>
              <w:left w:val="single" w:sz="4" w:space="0" w:color="auto"/>
            </w:tcBorders>
          </w:tcPr>
          <w:p w:rsidR="005F207B" w:rsidRPr="00123E93" w:rsidRDefault="005F207B" w:rsidP="009368C4">
            <w:pPr>
              <w:jc w:val="both"/>
              <w:rPr>
                <w:rFonts w:ascii="Calibri" w:hAnsi="Calibri"/>
                <w:b/>
                <w:sz w:val="22"/>
                <w:szCs w:val="22"/>
              </w:rPr>
            </w:pPr>
            <w:r w:rsidRPr="00C32D7E">
              <w:rPr>
                <w:rFonts w:ascii="Calibri" w:hAnsi="Calibri"/>
                <w:sz w:val="22"/>
              </w:rPr>
              <w:t>Die Proteste erhalten mediale Aufmerksamkeit, besonders als die Protestler Klage vorm Bundesverfassungsgericht einlegen. Während des laufenden Verfahrens setzt der EU-Kommissar für Landwirtschaft das Thema Käfighaltung im Februar 1998 auf die Tagesordnung.</w:t>
            </w:r>
          </w:p>
        </w:tc>
      </w:tr>
    </w:tbl>
    <w:p w:rsidR="005F207B" w:rsidRPr="00BC3908"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Tr="009368C4">
        <w:tc>
          <w:tcPr>
            <w:tcW w:w="1696" w:type="dxa"/>
            <w:tcBorders>
              <w:right w:val="single" w:sz="4" w:space="0" w:color="auto"/>
            </w:tcBorders>
          </w:tcPr>
          <w:p w:rsidR="005F207B" w:rsidRPr="00123E93" w:rsidRDefault="005F207B" w:rsidP="009368C4">
            <w:pPr>
              <w:rPr>
                <w:rFonts w:ascii="Calibri" w:hAnsi="Calibri"/>
                <w:b/>
                <w:sz w:val="22"/>
                <w:szCs w:val="22"/>
              </w:rPr>
            </w:pPr>
            <w:r w:rsidRPr="00123E93">
              <w:rPr>
                <w:rFonts w:ascii="Calibri" w:hAnsi="Calibri"/>
                <w:b/>
                <w:sz w:val="22"/>
                <w:szCs w:val="22"/>
              </w:rPr>
              <w:t>Artikulation</w:t>
            </w:r>
          </w:p>
        </w:tc>
        <w:tc>
          <w:tcPr>
            <w:tcW w:w="1985" w:type="dxa"/>
            <w:tcBorders>
              <w:top w:val="nil"/>
              <w:left w:val="single" w:sz="4" w:space="0" w:color="auto"/>
              <w:bottom w:val="nil"/>
              <w:right w:val="single" w:sz="4" w:space="0" w:color="auto"/>
            </w:tcBorders>
          </w:tcPr>
          <w:p w:rsidR="005F207B" w:rsidRPr="00123E93" w:rsidRDefault="005F207B" w:rsidP="009368C4">
            <w:pPr>
              <w:rPr>
                <w:rFonts w:ascii="Calibri" w:hAnsi="Calibri"/>
                <w:b/>
                <w:sz w:val="22"/>
                <w:szCs w:val="22"/>
              </w:rPr>
            </w:pPr>
          </w:p>
        </w:tc>
        <w:tc>
          <w:tcPr>
            <w:tcW w:w="10598" w:type="dxa"/>
            <w:tcBorders>
              <w:left w:val="single" w:sz="4" w:space="0" w:color="auto"/>
            </w:tcBorders>
          </w:tcPr>
          <w:p w:rsidR="005F207B" w:rsidRPr="00123E93" w:rsidRDefault="005F207B" w:rsidP="009368C4">
            <w:pPr>
              <w:jc w:val="both"/>
              <w:rPr>
                <w:rFonts w:ascii="Calibri" w:hAnsi="Calibri"/>
                <w:b/>
                <w:sz w:val="22"/>
                <w:szCs w:val="22"/>
              </w:rPr>
            </w:pPr>
            <w:r w:rsidRPr="00C32D7E">
              <w:rPr>
                <w:rFonts w:ascii="Calibri" w:eastAsia="Times New Roman" w:hAnsi="Calibri" w:cs="Times New Roman"/>
                <w:sz w:val="22"/>
              </w:rPr>
              <w:t>Die Bestimmungen der Richtlinie 1999/74/EG werden durch die "Verordnung zum Schutz landwirtschaftlicher Nutztiere und anderer zur Erzeugung tierischer Produkte gehaltener Tiere bei ihrer Haltung" in nationales [deutsches] Recht umgesetzt. Nur noch in begründeten Einzelfällen können bis zum 31. Dezember 2009 Legehennen in Deutschland in Käfigen gehalten werden. Ein "verbindliches Betriebs- und Umbaukonzept zur Umstellung der vorhandenen Haltungseinrichtungen" musste hierzu bei den zuständigen Ämtern für Veterinärwesen und Verbraucherschutz der Landkreise und kreisfreien Städte eingereicht werden.</w:t>
            </w:r>
          </w:p>
        </w:tc>
      </w:tr>
    </w:tbl>
    <w:p w:rsidR="005F207B" w:rsidRPr="00BC3908"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Tr="009368C4">
        <w:tc>
          <w:tcPr>
            <w:tcW w:w="1696" w:type="dxa"/>
            <w:tcBorders>
              <w:right w:val="single" w:sz="4" w:space="0" w:color="auto"/>
            </w:tcBorders>
          </w:tcPr>
          <w:p w:rsidR="005F207B" w:rsidRPr="00123E93" w:rsidRDefault="005F207B" w:rsidP="009368C4">
            <w:pPr>
              <w:rPr>
                <w:rFonts w:ascii="Calibri" w:hAnsi="Calibri"/>
                <w:b/>
                <w:sz w:val="22"/>
                <w:szCs w:val="22"/>
              </w:rPr>
            </w:pPr>
            <w:r w:rsidRPr="00123E93">
              <w:rPr>
                <w:rFonts w:ascii="Calibri" w:hAnsi="Calibri"/>
                <w:b/>
                <w:sz w:val="22"/>
                <w:szCs w:val="22"/>
              </w:rPr>
              <w:t>Politische Tagesordnung</w:t>
            </w:r>
          </w:p>
        </w:tc>
        <w:tc>
          <w:tcPr>
            <w:tcW w:w="1985" w:type="dxa"/>
            <w:tcBorders>
              <w:top w:val="nil"/>
              <w:left w:val="single" w:sz="4" w:space="0" w:color="auto"/>
              <w:bottom w:val="nil"/>
              <w:right w:val="single" w:sz="4" w:space="0" w:color="auto"/>
            </w:tcBorders>
          </w:tcPr>
          <w:p w:rsidR="005F207B" w:rsidRPr="00123E93" w:rsidRDefault="005F207B" w:rsidP="009368C4">
            <w:pPr>
              <w:rPr>
                <w:rFonts w:ascii="Calibri" w:hAnsi="Calibri"/>
                <w:b/>
                <w:sz w:val="22"/>
                <w:szCs w:val="22"/>
              </w:rPr>
            </w:pPr>
          </w:p>
        </w:tc>
        <w:tc>
          <w:tcPr>
            <w:tcW w:w="10598" w:type="dxa"/>
            <w:tcBorders>
              <w:left w:val="single" w:sz="4" w:space="0" w:color="auto"/>
            </w:tcBorders>
          </w:tcPr>
          <w:p w:rsidR="005F207B" w:rsidRPr="00123E93" w:rsidRDefault="005F207B" w:rsidP="009368C4">
            <w:pPr>
              <w:jc w:val="both"/>
              <w:rPr>
                <w:rFonts w:ascii="Calibri" w:hAnsi="Calibri"/>
                <w:b/>
                <w:sz w:val="22"/>
                <w:szCs w:val="22"/>
              </w:rPr>
            </w:pPr>
            <w:r w:rsidRPr="00C32D7E">
              <w:rPr>
                <w:rFonts w:ascii="Calibri" w:eastAsia="Times New Roman" w:hAnsi="Calibri" w:cs="Times New Roman"/>
                <w:sz w:val="22"/>
              </w:rPr>
              <w:t xml:space="preserve">Dem „Spiegel“ liegen 1997 Pläne zum Bau einer Eierfabrik in </w:t>
            </w:r>
            <w:proofErr w:type="spellStart"/>
            <w:r w:rsidRPr="00C32D7E">
              <w:rPr>
                <w:rFonts w:ascii="Calibri" w:eastAsia="Times New Roman" w:hAnsi="Calibri" w:cs="Times New Roman"/>
                <w:sz w:val="22"/>
              </w:rPr>
              <w:t>Neubukow</w:t>
            </w:r>
            <w:proofErr w:type="spellEnd"/>
            <w:r w:rsidRPr="00C32D7E">
              <w:rPr>
                <w:rFonts w:ascii="Calibri" w:eastAsia="Times New Roman" w:hAnsi="Calibri" w:cs="Times New Roman"/>
                <w:sz w:val="22"/>
              </w:rPr>
              <w:t xml:space="preserve"> (Mecklenburg-Vorpommern) vor: In elf Meter hohen und 127 Meter langen Stallungen sollen auf acht Etagen insgesamt 792.960 Legehennen hocken, jeweils fünf in einem Käfig. Jedes Huhn hätte während der 60 Wochen, die es hier verbringen sollte, eine Fläche zur Verfügung gehabt, die kleiner als eine DINA4-Seite gewesen wäre. </w:t>
            </w:r>
          </w:p>
        </w:tc>
      </w:tr>
    </w:tbl>
    <w:p w:rsidR="005F207B" w:rsidRPr="00BC3908"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Tr="009368C4">
        <w:tc>
          <w:tcPr>
            <w:tcW w:w="1696" w:type="dxa"/>
            <w:tcBorders>
              <w:right w:val="single" w:sz="4" w:space="0" w:color="auto"/>
            </w:tcBorders>
          </w:tcPr>
          <w:p w:rsidR="005F207B" w:rsidRPr="00123E93" w:rsidRDefault="005F207B" w:rsidP="009368C4">
            <w:pPr>
              <w:rPr>
                <w:rFonts w:ascii="Calibri" w:hAnsi="Calibri"/>
                <w:b/>
                <w:sz w:val="22"/>
                <w:szCs w:val="22"/>
              </w:rPr>
            </w:pPr>
            <w:r w:rsidRPr="00123E93">
              <w:rPr>
                <w:rFonts w:ascii="Calibri" w:hAnsi="Calibri"/>
                <w:b/>
                <w:sz w:val="22"/>
                <w:szCs w:val="22"/>
              </w:rPr>
              <w:t>Gesetzgebungs-verfahren</w:t>
            </w:r>
          </w:p>
        </w:tc>
        <w:tc>
          <w:tcPr>
            <w:tcW w:w="1985" w:type="dxa"/>
            <w:tcBorders>
              <w:top w:val="nil"/>
              <w:left w:val="single" w:sz="4" w:space="0" w:color="auto"/>
              <w:bottom w:val="nil"/>
              <w:right w:val="single" w:sz="4" w:space="0" w:color="auto"/>
            </w:tcBorders>
          </w:tcPr>
          <w:p w:rsidR="005F207B" w:rsidRPr="00123E93" w:rsidRDefault="005F207B" w:rsidP="009368C4">
            <w:pPr>
              <w:rPr>
                <w:rFonts w:ascii="Calibri" w:hAnsi="Calibri"/>
                <w:b/>
                <w:sz w:val="22"/>
                <w:szCs w:val="22"/>
              </w:rPr>
            </w:pPr>
          </w:p>
        </w:tc>
        <w:tc>
          <w:tcPr>
            <w:tcW w:w="10598" w:type="dxa"/>
            <w:tcBorders>
              <w:left w:val="single" w:sz="4" w:space="0" w:color="auto"/>
            </w:tcBorders>
          </w:tcPr>
          <w:p w:rsidR="005F207B" w:rsidRPr="00123E93" w:rsidRDefault="005F207B" w:rsidP="009368C4">
            <w:pPr>
              <w:jc w:val="both"/>
              <w:rPr>
                <w:rFonts w:ascii="Calibri" w:hAnsi="Calibri"/>
                <w:sz w:val="22"/>
                <w:szCs w:val="22"/>
              </w:rPr>
            </w:pPr>
            <w:r w:rsidRPr="00C32D7E">
              <w:rPr>
                <w:rFonts w:ascii="Calibri" w:hAnsi="Calibri"/>
                <w:sz w:val="22"/>
              </w:rPr>
              <w:t xml:space="preserve">Deutschland schaffte die sogenannte konventionelle </w:t>
            </w:r>
            <w:proofErr w:type="spellStart"/>
            <w:r w:rsidRPr="00C32D7E">
              <w:rPr>
                <w:rFonts w:ascii="Calibri" w:hAnsi="Calibri"/>
                <w:sz w:val="22"/>
              </w:rPr>
              <w:t>Legehennenhaltung</w:t>
            </w:r>
            <w:proofErr w:type="spellEnd"/>
            <w:r w:rsidRPr="00C32D7E">
              <w:rPr>
                <w:rFonts w:ascii="Calibri" w:hAnsi="Calibri"/>
                <w:sz w:val="22"/>
              </w:rPr>
              <w:t xml:space="preserve"> schon vor der EU-Frist im Jahr 2010 ab. In 13 anderen EU-Staaten dagegen wurde die Vorgabe nach EU-Erkenntnissen zumindest teilweise noch im März 2012 missachtet, sodass zu diesem Zeitpunkt ca. 46 Millionen Hennen weiterhin in Käfigbatterien lebten. </w:t>
            </w:r>
            <w:r w:rsidRPr="00C32D7E">
              <w:rPr>
                <w:rFonts w:ascii="Calibri" w:eastAsia="Times New Roman" w:hAnsi="Calibri" w:cs="Arial"/>
                <w:sz w:val="22"/>
                <w:shd w:val="clear" w:color="auto" w:fill="FFFFFF"/>
              </w:rPr>
              <w:t xml:space="preserve">Die EU-Kommission hat die Einhaltung des Verbots überwacht und ahndete Verstöße. 2012 </w:t>
            </w:r>
            <w:r>
              <w:rPr>
                <w:rFonts w:ascii="Calibri" w:eastAsia="Times New Roman" w:hAnsi="Calibri" w:cs="Arial"/>
                <w:sz w:val="22"/>
                <w:shd w:val="clear" w:color="auto" w:fill="FFFFFF"/>
              </w:rPr>
              <w:t>wurden daher gegen jeden der 13</w:t>
            </w:r>
            <w:r w:rsidRPr="00C32D7E">
              <w:rPr>
                <w:rFonts w:ascii="Calibri" w:eastAsia="Times New Roman" w:hAnsi="Calibri" w:cs="Arial"/>
                <w:sz w:val="22"/>
                <w:shd w:val="clear" w:color="auto" w:fill="FFFFFF"/>
              </w:rPr>
              <w:t xml:space="preserve"> EU-Staaten Vertragsverletzungsverfahren eingeleitet.</w:t>
            </w:r>
          </w:p>
        </w:tc>
      </w:tr>
    </w:tbl>
    <w:p w:rsidR="005F207B" w:rsidRPr="00BC3908"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Tr="009368C4">
        <w:tc>
          <w:tcPr>
            <w:tcW w:w="1696" w:type="dxa"/>
            <w:tcBorders>
              <w:right w:val="single" w:sz="4" w:space="0" w:color="auto"/>
            </w:tcBorders>
          </w:tcPr>
          <w:p w:rsidR="005F207B" w:rsidRPr="00123E93" w:rsidRDefault="005F207B" w:rsidP="009368C4">
            <w:pPr>
              <w:rPr>
                <w:rFonts w:ascii="Calibri" w:hAnsi="Calibri"/>
                <w:b/>
                <w:sz w:val="22"/>
                <w:szCs w:val="22"/>
              </w:rPr>
            </w:pPr>
            <w:r w:rsidRPr="00123E93">
              <w:rPr>
                <w:rFonts w:ascii="Calibri" w:hAnsi="Calibri"/>
                <w:b/>
                <w:sz w:val="22"/>
                <w:szCs w:val="22"/>
              </w:rPr>
              <w:t>Umsetzung</w:t>
            </w:r>
          </w:p>
        </w:tc>
        <w:tc>
          <w:tcPr>
            <w:tcW w:w="1985" w:type="dxa"/>
            <w:tcBorders>
              <w:top w:val="nil"/>
              <w:left w:val="single" w:sz="4" w:space="0" w:color="auto"/>
              <w:bottom w:val="nil"/>
              <w:right w:val="single" w:sz="4" w:space="0" w:color="auto"/>
            </w:tcBorders>
          </w:tcPr>
          <w:p w:rsidR="005F207B" w:rsidRPr="00123E93" w:rsidRDefault="005F207B" w:rsidP="009368C4">
            <w:pPr>
              <w:rPr>
                <w:rFonts w:ascii="Calibri" w:hAnsi="Calibri"/>
                <w:b/>
                <w:sz w:val="22"/>
                <w:szCs w:val="22"/>
              </w:rPr>
            </w:pPr>
          </w:p>
        </w:tc>
        <w:tc>
          <w:tcPr>
            <w:tcW w:w="10598" w:type="dxa"/>
            <w:tcBorders>
              <w:left w:val="single" w:sz="4" w:space="0" w:color="auto"/>
            </w:tcBorders>
          </w:tcPr>
          <w:p w:rsidR="005F207B" w:rsidRPr="00123E93" w:rsidRDefault="005F207B" w:rsidP="009368C4">
            <w:pPr>
              <w:jc w:val="both"/>
              <w:rPr>
                <w:rFonts w:ascii="Calibri" w:eastAsia="Times New Roman" w:hAnsi="Calibri" w:cs="Times New Roman"/>
                <w:sz w:val="22"/>
                <w:szCs w:val="22"/>
              </w:rPr>
            </w:pPr>
            <w:r w:rsidRPr="00C32D7E">
              <w:rPr>
                <w:rFonts w:ascii="Calibri" w:eastAsia="Times New Roman" w:hAnsi="Calibri" w:cs="Times New Roman"/>
                <w:sz w:val="22"/>
              </w:rPr>
              <w:t>Die Kommission legt einen Gesetzesentwurf vor und nach weiterer Ausarbeitung mit dem Europäischen Parlament und dem Ministerrat wird am 19. Juli 1999 die Richtlinie 1999/74/EG des Rates zur Festlegung von Mindestanforderungen zum Schutz von Legehennen veröffentlicht. Darin ist festgelegt, dass Käfighaltung ab dem 1. Januar 2012 EU-weit nicht mehr erlaubt ist.</w:t>
            </w:r>
          </w:p>
        </w:tc>
      </w:tr>
    </w:tbl>
    <w:p w:rsidR="005F207B" w:rsidRPr="00BC3908"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Tr="009368C4">
        <w:tc>
          <w:tcPr>
            <w:tcW w:w="1696" w:type="dxa"/>
            <w:tcBorders>
              <w:right w:val="single" w:sz="4" w:space="0" w:color="auto"/>
            </w:tcBorders>
          </w:tcPr>
          <w:p w:rsidR="005F207B" w:rsidRPr="00123E93" w:rsidRDefault="005F207B" w:rsidP="009368C4">
            <w:pPr>
              <w:rPr>
                <w:rFonts w:ascii="Calibri" w:hAnsi="Calibri"/>
                <w:b/>
                <w:sz w:val="22"/>
                <w:szCs w:val="22"/>
              </w:rPr>
            </w:pPr>
            <w:r w:rsidRPr="00123E93">
              <w:rPr>
                <w:rFonts w:ascii="Calibri" w:hAnsi="Calibri"/>
                <w:b/>
                <w:sz w:val="22"/>
                <w:szCs w:val="22"/>
              </w:rPr>
              <w:t>Bewertung</w:t>
            </w:r>
          </w:p>
        </w:tc>
        <w:tc>
          <w:tcPr>
            <w:tcW w:w="1985" w:type="dxa"/>
            <w:tcBorders>
              <w:top w:val="nil"/>
              <w:left w:val="single" w:sz="4" w:space="0" w:color="auto"/>
              <w:bottom w:val="nil"/>
              <w:right w:val="single" w:sz="4" w:space="0" w:color="auto"/>
            </w:tcBorders>
          </w:tcPr>
          <w:p w:rsidR="005F207B" w:rsidRPr="00123E93" w:rsidRDefault="005F207B" w:rsidP="009368C4">
            <w:pPr>
              <w:rPr>
                <w:rFonts w:ascii="Calibri" w:hAnsi="Calibri"/>
                <w:b/>
                <w:sz w:val="22"/>
                <w:szCs w:val="22"/>
              </w:rPr>
            </w:pPr>
          </w:p>
        </w:tc>
        <w:tc>
          <w:tcPr>
            <w:tcW w:w="10598" w:type="dxa"/>
            <w:tcBorders>
              <w:left w:val="single" w:sz="4" w:space="0" w:color="auto"/>
            </w:tcBorders>
          </w:tcPr>
          <w:p w:rsidR="005F207B" w:rsidRPr="00123E93" w:rsidRDefault="005F207B" w:rsidP="009368C4">
            <w:pPr>
              <w:jc w:val="both"/>
              <w:rPr>
                <w:rFonts w:ascii="Calibri" w:eastAsia="Times New Roman" w:hAnsi="Calibri"/>
                <w:sz w:val="22"/>
                <w:szCs w:val="22"/>
                <w:shd w:val="clear" w:color="auto" w:fill="FFFFFF"/>
              </w:rPr>
            </w:pPr>
            <w:r w:rsidRPr="00C32D7E">
              <w:rPr>
                <w:rFonts w:ascii="Calibri" w:eastAsia="Times New Roman" w:hAnsi="Calibri" w:cs="Times New Roman"/>
                <w:sz w:val="22"/>
              </w:rPr>
              <w:t>Mehr als 20 europäische Tierschutzorganisationen von "</w:t>
            </w:r>
            <w:proofErr w:type="spellStart"/>
            <w:r w:rsidRPr="00C32D7E">
              <w:rPr>
                <w:rFonts w:ascii="Calibri" w:eastAsia="Times New Roman" w:hAnsi="Calibri" w:cs="Times New Roman"/>
                <w:sz w:val="22"/>
              </w:rPr>
              <w:t>Animal</w:t>
            </w:r>
            <w:proofErr w:type="spellEnd"/>
            <w:r w:rsidRPr="00C32D7E">
              <w:rPr>
                <w:rFonts w:ascii="Calibri" w:eastAsia="Times New Roman" w:hAnsi="Calibri" w:cs="Times New Roman"/>
                <w:sz w:val="22"/>
              </w:rPr>
              <w:t xml:space="preserve"> </w:t>
            </w:r>
            <w:proofErr w:type="spellStart"/>
            <w:r w:rsidRPr="00C32D7E">
              <w:rPr>
                <w:rFonts w:ascii="Calibri" w:eastAsia="Times New Roman" w:hAnsi="Calibri" w:cs="Times New Roman"/>
                <w:sz w:val="22"/>
              </w:rPr>
              <w:t>Peace</w:t>
            </w:r>
            <w:proofErr w:type="spellEnd"/>
            <w:r w:rsidRPr="00C32D7E">
              <w:rPr>
                <w:rFonts w:ascii="Calibri" w:eastAsia="Times New Roman" w:hAnsi="Calibri" w:cs="Times New Roman"/>
                <w:sz w:val="22"/>
              </w:rPr>
              <w:t xml:space="preserve">" bis zum "Verein gegen tierquälerische Massentierhaltung e. V." liefen monatelang gemeinsam mit einer </w:t>
            </w:r>
            <w:proofErr w:type="spellStart"/>
            <w:r w:rsidRPr="00C32D7E">
              <w:rPr>
                <w:rFonts w:ascii="Calibri" w:eastAsia="Times New Roman" w:hAnsi="Calibri" w:cs="Times New Roman"/>
                <w:sz w:val="22"/>
              </w:rPr>
              <w:t>Neubukower</w:t>
            </w:r>
            <w:proofErr w:type="spellEnd"/>
            <w:r w:rsidRPr="00C32D7E">
              <w:rPr>
                <w:rFonts w:ascii="Calibri" w:eastAsia="Times New Roman" w:hAnsi="Calibri" w:cs="Times New Roman"/>
                <w:sz w:val="22"/>
              </w:rPr>
              <w:t xml:space="preserve"> Bürgerinitiative Sturm gegen die Frischei-Pläne und gegen Käfighaltung. </w:t>
            </w:r>
          </w:p>
        </w:tc>
      </w:tr>
    </w:tbl>
    <w:p w:rsidR="005F207B" w:rsidRDefault="005F207B" w:rsidP="005F207B">
      <w:pPr>
        <w:rPr>
          <w:rFonts w:ascii="Calibri" w:hAnsi="Calibri"/>
          <w:b/>
          <w:i/>
          <w:sz w:val="22"/>
        </w:rPr>
      </w:pPr>
    </w:p>
    <w:p w:rsidR="005F207B" w:rsidRDefault="005F207B" w:rsidP="005F207B">
      <w:pPr>
        <w:rPr>
          <w:rFonts w:ascii="Calibri" w:hAnsi="Calibri"/>
          <w:b/>
          <w:i/>
          <w:sz w:val="22"/>
        </w:rPr>
      </w:pPr>
    </w:p>
    <w:p w:rsidR="005F207B" w:rsidRPr="00850E1F" w:rsidRDefault="005F207B" w:rsidP="005F207B">
      <w:pPr>
        <w:rPr>
          <w:rFonts w:ascii="Calibri" w:hAnsi="Calibri"/>
          <w:b/>
          <w:i/>
          <w:sz w:val="22"/>
        </w:rPr>
      </w:pPr>
      <w:r w:rsidRPr="00AC1F27">
        <w:rPr>
          <w:rFonts w:ascii="Calibri" w:hAnsi="Calibri"/>
          <w:b/>
          <w:sz w:val="32"/>
        </w:rPr>
        <w:lastRenderedPageBreak/>
        <w:t>Politikzykl</w:t>
      </w:r>
      <w:r>
        <w:rPr>
          <w:rFonts w:ascii="Calibri" w:hAnsi="Calibri"/>
          <w:b/>
          <w:sz w:val="32"/>
        </w:rPr>
        <w:t>us: Streaming-Dienst</w:t>
      </w:r>
    </w:p>
    <w:p w:rsidR="005F207B" w:rsidRPr="00A4499E" w:rsidRDefault="005F207B" w:rsidP="005F207B">
      <w:pPr>
        <w:rPr>
          <w:rFonts w:ascii="Calibri" w:hAnsi="Calibri"/>
          <w:b/>
        </w:rPr>
      </w:pPr>
      <w:r w:rsidRPr="00A4499E">
        <w:rPr>
          <w:rFonts w:ascii="Calibri" w:hAnsi="Calibri"/>
          <w:b/>
        </w:rPr>
        <w:t xml:space="preserve">Aufgabe: </w:t>
      </w:r>
      <w:r w:rsidRPr="00A4499E">
        <w:rPr>
          <w:rFonts w:ascii="Calibri" w:hAnsi="Calibri"/>
        </w:rPr>
        <w:t>Suche zu jedem der sechs Schritte des Politikzyklus (links) den passenden Text (rechts) und verbinde diese mit einer Linie.</w:t>
      </w:r>
    </w:p>
    <w:p w:rsidR="005F207B" w:rsidRPr="007E1489" w:rsidRDefault="005F207B" w:rsidP="005F207B">
      <w:pPr>
        <w:rPr>
          <w:rFonts w:ascii="Calibri" w:hAnsi="Calibri"/>
          <w:sz w:val="22"/>
        </w:rPr>
      </w:pPr>
    </w:p>
    <w:tbl>
      <w:tblPr>
        <w:tblStyle w:val="Tabellenraster"/>
        <w:tblW w:w="0" w:type="auto"/>
        <w:tblLook w:val="04A0" w:firstRow="1" w:lastRow="0" w:firstColumn="1" w:lastColumn="0" w:noHBand="0" w:noVBand="1"/>
      </w:tblPr>
      <w:tblGrid>
        <w:gridCol w:w="1696"/>
        <w:gridCol w:w="1985"/>
        <w:gridCol w:w="10598"/>
      </w:tblGrid>
      <w:tr w:rsidR="005F207B" w:rsidTr="009368C4">
        <w:tc>
          <w:tcPr>
            <w:tcW w:w="1696" w:type="dxa"/>
            <w:tcBorders>
              <w:right w:val="single" w:sz="4" w:space="0" w:color="auto"/>
            </w:tcBorders>
          </w:tcPr>
          <w:p w:rsidR="005F207B" w:rsidRPr="00123E93" w:rsidRDefault="005F207B" w:rsidP="009368C4">
            <w:pPr>
              <w:rPr>
                <w:rFonts w:ascii="Calibri" w:hAnsi="Calibri"/>
                <w:b/>
                <w:sz w:val="22"/>
                <w:szCs w:val="22"/>
              </w:rPr>
            </w:pPr>
            <w:r w:rsidRPr="00123E93">
              <w:rPr>
                <w:rFonts w:ascii="Calibri" w:hAnsi="Calibri"/>
                <w:b/>
                <w:sz w:val="22"/>
                <w:szCs w:val="22"/>
              </w:rPr>
              <w:t>Problem</w:t>
            </w:r>
          </w:p>
        </w:tc>
        <w:tc>
          <w:tcPr>
            <w:tcW w:w="1985" w:type="dxa"/>
            <w:tcBorders>
              <w:top w:val="nil"/>
              <w:left w:val="single" w:sz="4" w:space="0" w:color="auto"/>
              <w:bottom w:val="nil"/>
              <w:right w:val="single" w:sz="4" w:space="0" w:color="auto"/>
            </w:tcBorders>
          </w:tcPr>
          <w:p w:rsidR="005F207B" w:rsidRPr="00123E93" w:rsidRDefault="005F207B" w:rsidP="009368C4">
            <w:pPr>
              <w:rPr>
                <w:rFonts w:ascii="Calibri" w:hAnsi="Calibri"/>
                <w:b/>
                <w:sz w:val="22"/>
                <w:szCs w:val="22"/>
              </w:rPr>
            </w:pPr>
          </w:p>
        </w:tc>
        <w:tc>
          <w:tcPr>
            <w:tcW w:w="10598" w:type="dxa"/>
            <w:tcBorders>
              <w:left w:val="single" w:sz="4" w:space="0" w:color="auto"/>
            </w:tcBorders>
          </w:tcPr>
          <w:p w:rsidR="005F207B" w:rsidRPr="00C32D7E" w:rsidRDefault="005F207B" w:rsidP="009368C4">
            <w:pPr>
              <w:jc w:val="both"/>
              <w:rPr>
                <w:rFonts w:ascii="Calibri" w:hAnsi="Calibri"/>
                <w:b/>
                <w:sz w:val="22"/>
                <w:szCs w:val="22"/>
              </w:rPr>
            </w:pPr>
            <w:r w:rsidRPr="00C32D7E">
              <w:rPr>
                <w:rFonts w:ascii="Calibri" w:hAnsi="Calibri"/>
                <w:sz w:val="22"/>
                <w:szCs w:val="22"/>
              </w:rPr>
              <w:t>Die bulgarische Abgeordnete Eva Maydell, die im „</w:t>
            </w:r>
            <w:r w:rsidRPr="00C32D7E">
              <w:rPr>
                <w:rFonts w:ascii="Calibri" w:eastAsia="Times New Roman" w:hAnsi="Calibri" w:cs="Times New Roman"/>
                <w:sz w:val="22"/>
                <w:szCs w:val="22"/>
              </w:rPr>
              <w:t xml:space="preserve">Ausschuss für Binnenmarkt und Verbraucherschutz“ des Europäischen Parlaments sitzt, sprach das Problem bei </w:t>
            </w:r>
            <w:proofErr w:type="gramStart"/>
            <w:r w:rsidRPr="00C32D7E">
              <w:rPr>
                <w:rFonts w:ascii="Calibri" w:eastAsia="Times New Roman" w:hAnsi="Calibri" w:cs="Times New Roman"/>
                <w:sz w:val="22"/>
                <w:szCs w:val="22"/>
              </w:rPr>
              <w:t>ihren Kolleg</w:t>
            </w:r>
            <w:proofErr w:type="gramEnd"/>
            <w:r w:rsidRPr="00C32D7E">
              <w:rPr>
                <w:rFonts w:ascii="Calibri" w:eastAsia="Times New Roman" w:hAnsi="Calibri" w:cs="Times New Roman"/>
                <w:sz w:val="22"/>
                <w:szCs w:val="22"/>
              </w:rPr>
              <w:t xml:space="preserve">*innen an. Denn auch sie konnte nicht House </w:t>
            </w:r>
            <w:proofErr w:type="spellStart"/>
            <w:r w:rsidRPr="00C32D7E">
              <w:rPr>
                <w:rFonts w:ascii="Calibri" w:eastAsia="Times New Roman" w:hAnsi="Calibri" w:cs="Times New Roman"/>
                <w:sz w:val="22"/>
                <w:szCs w:val="22"/>
              </w:rPr>
              <w:t>of</w:t>
            </w:r>
            <w:proofErr w:type="spellEnd"/>
            <w:r w:rsidRPr="00C32D7E">
              <w:rPr>
                <w:rFonts w:ascii="Calibri" w:eastAsia="Times New Roman" w:hAnsi="Calibri" w:cs="Times New Roman"/>
                <w:sz w:val="22"/>
                <w:szCs w:val="22"/>
              </w:rPr>
              <w:t xml:space="preserve"> Cards über </w:t>
            </w:r>
            <w:proofErr w:type="spellStart"/>
            <w:r w:rsidRPr="00C32D7E">
              <w:rPr>
                <w:rFonts w:ascii="Calibri" w:eastAsia="Times New Roman" w:hAnsi="Calibri" w:cs="Times New Roman"/>
                <w:sz w:val="22"/>
                <w:szCs w:val="22"/>
              </w:rPr>
              <w:t>Netflix</w:t>
            </w:r>
            <w:proofErr w:type="spellEnd"/>
            <w:r w:rsidRPr="00C32D7E">
              <w:rPr>
                <w:rFonts w:ascii="Calibri" w:eastAsia="Times New Roman" w:hAnsi="Calibri" w:cs="Times New Roman"/>
                <w:sz w:val="22"/>
                <w:szCs w:val="22"/>
              </w:rPr>
              <w:t xml:space="preserve"> in Belgien schauen, da sie das Abonnement in Bulgarien abgeschlossen hatte.</w:t>
            </w:r>
          </w:p>
        </w:tc>
      </w:tr>
    </w:tbl>
    <w:p w:rsidR="005F207B" w:rsidRPr="00BC3908"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Tr="009368C4">
        <w:tc>
          <w:tcPr>
            <w:tcW w:w="1696" w:type="dxa"/>
            <w:tcBorders>
              <w:right w:val="single" w:sz="4" w:space="0" w:color="auto"/>
            </w:tcBorders>
          </w:tcPr>
          <w:p w:rsidR="005F207B" w:rsidRPr="00123E93" w:rsidRDefault="005F207B" w:rsidP="009368C4">
            <w:pPr>
              <w:rPr>
                <w:rFonts w:ascii="Calibri" w:hAnsi="Calibri"/>
                <w:b/>
                <w:sz w:val="22"/>
                <w:szCs w:val="22"/>
              </w:rPr>
            </w:pPr>
            <w:r w:rsidRPr="00123E93">
              <w:rPr>
                <w:rFonts w:ascii="Calibri" w:hAnsi="Calibri"/>
                <w:b/>
                <w:sz w:val="22"/>
                <w:szCs w:val="22"/>
              </w:rPr>
              <w:t>Artikulation</w:t>
            </w:r>
          </w:p>
        </w:tc>
        <w:tc>
          <w:tcPr>
            <w:tcW w:w="1985" w:type="dxa"/>
            <w:tcBorders>
              <w:top w:val="nil"/>
              <w:left w:val="single" w:sz="4" w:space="0" w:color="auto"/>
              <w:bottom w:val="nil"/>
              <w:right w:val="single" w:sz="4" w:space="0" w:color="auto"/>
            </w:tcBorders>
          </w:tcPr>
          <w:p w:rsidR="005F207B" w:rsidRPr="00123E93" w:rsidRDefault="005F207B" w:rsidP="009368C4">
            <w:pPr>
              <w:rPr>
                <w:rFonts w:ascii="Calibri" w:hAnsi="Calibri"/>
                <w:b/>
                <w:sz w:val="22"/>
                <w:szCs w:val="22"/>
              </w:rPr>
            </w:pPr>
          </w:p>
        </w:tc>
        <w:tc>
          <w:tcPr>
            <w:tcW w:w="10598" w:type="dxa"/>
            <w:tcBorders>
              <w:left w:val="single" w:sz="4" w:space="0" w:color="auto"/>
            </w:tcBorders>
          </w:tcPr>
          <w:p w:rsidR="005F207B" w:rsidRPr="00123E93" w:rsidRDefault="005F207B" w:rsidP="009368C4">
            <w:pPr>
              <w:jc w:val="both"/>
              <w:rPr>
                <w:rFonts w:ascii="Calibri" w:eastAsia="Times New Roman" w:hAnsi="Calibri" w:cs="Times New Roman"/>
                <w:sz w:val="22"/>
                <w:szCs w:val="22"/>
              </w:rPr>
            </w:pPr>
            <w:r w:rsidRPr="00C32D7E">
              <w:rPr>
                <w:rFonts w:ascii="Calibri" w:hAnsi="Calibri"/>
                <w:sz w:val="22"/>
                <w:szCs w:val="22"/>
              </w:rPr>
              <w:t xml:space="preserve">Ein*e EU-Bürger*in konnte nicht auf bezahlte Dienste wie </w:t>
            </w:r>
            <w:proofErr w:type="spellStart"/>
            <w:r w:rsidRPr="00C32D7E">
              <w:rPr>
                <w:rFonts w:ascii="Calibri" w:hAnsi="Calibri"/>
                <w:sz w:val="22"/>
                <w:szCs w:val="22"/>
              </w:rPr>
              <w:t>Netflix</w:t>
            </w:r>
            <w:proofErr w:type="spellEnd"/>
            <w:r w:rsidRPr="00C32D7E">
              <w:rPr>
                <w:rFonts w:ascii="Calibri" w:hAnsi="Calibri"/>
                <w:sz w:val="22"/>
                <w:szCs w:val="22"/>
              </w:rPr>
              <w:t xml:space="preserve">, </w:t>
            </w:r>
            <w:proofErr w:type="spellStart"/>
            <w:r w:rsidRPr="00C32D7E">
              <w:rPr>
                <w:rFonts w:ascii="Calibri" w:hAnsi="Calibri"/>
                <w:sz w:val="22"/>
                <w:szCs w:val="22"/>
              </w:rPr>
              <w:t>Spotify</w:t>
            </w:r>
            <w:proofErr w:type="spellEnd"/>
            <w:r w:rsidRPr="00C32D7E">
              <w:rPr>
                <w:rFonts w:ascii="Calibri" w:hAnsi="Calibri"/>
                <w:sz w:val="22"/>
                <w:szCs w:val="22"/>
              </w:rPr>
              <w:t>, Sky aus ihrem Heimatland zugreifen, wenn er*sie sich in einem anderen EU-Land befand. Es wurde beispielsweise statt eines Films auf dem Bildschirm angezeigt: „Das angefragte Video steht in Ihrem Land nicht zur Verfügung.“ Das war der Fall aufgrund des Einsatzes des sogenannten „</w:t>
            </w:r>
            <w:proofErr w:type="spellStart"/>
            <w:r w:rsidRPr="00C32D7E">
              <w:rPr>
                <w:rFonts w:ascii="Calibri" w:hAnsi="Calibri"/>
                <w:sz w:val="22"/>
                <w:szCs w:val="22"/>
              </w:rPr>
              <w:t>Geoblockings</w:t>
            </w:r>
            <w:proofErr w:type="spellEnd"/>
            <w:r w:rsidRPr="00C32D7E">
              <w:rPr>
                <w:rFonts w:ascii="Calibri" w:hAnsi="Calibri"/>
                <w:sz w:val="22"/>
                <w:szCs w:val="22"/>
              </w:rPr>
              <w:t xml:space="preserve">“, einer </w:t>
            </w:r>
            <w:r w:rsidRPr="00C32D7E">
              <w:rPr>
                <w:rStyle w:val="st"/>
                <w:rFonts w:ascii="Calibri" w:eastAsia="Times New Roman" w:hAnsi="Calibri" w:cs="Times New Roman"/>
                <w:sz w:val="22"/>
                <w:szCs w:val="22"/>
              </w:rPr>
              <w:t>im Internet verwendeten Technik zur regionalen Sperrung von Internetinhalten.</w:t>
            </w:r>
          </w:p>
        </w:tc>
      </w:tr>
    </w:tbl>
    <w:p w:rsidR="005F207B" w:rsidRPr="00BC3908"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Tr="009368C4">
        <w:tc>
          <w:tcPr>
            <w:tcW w:w="1696" w:type="dxa"/>
            <w:tcBorders>
              <w:right w:val="single" w:sz="4" w:space="0" w:color="auto"/>
            </w:tcBorders>
          </w:tcPr>
          <w:p w:rsidR="005F207B" w:rsidRPr="00123E93" w:rsidRDefault="005F207B" w:rsidP="009368C4">
            <w:pPr>
              <w:rPr>
                <w:rFonts w:ascii="Calibri" w:hAnsi="Calibri"/>
                <w:b/>
                <w:sz w:val="22"/>
                <w:szCs w:val="22"/>
              </w:rPr>
            </w:pPr>
            <w:r w:rsidRPr="00123E93">
              <w:rPr>
                <w:rFonts w:ascii="Calibri" w:hAnsi="Calibri"/>
                <w:b/>
                <w:sz w:val="22"/>
                <w:szCs w:val="22"/>
              </w:rPr>
              <w:t>Politische Tagesordnung</w:t>
            </w:r>
          </w:p>
        </w:tc>
        <w:tc>
          <w:tcPr>
            <w:tcW w:w="1985" w:type="dxa"/>
            <w:tcBorders>
              <w:top w:val="nil"/>
              <w:left w:val="single" w:sz="4" w:space="0" w:color="auto"/>
              <w:bottom w:val="nil"/>
              <w:right w:val="single" w:sz="4" w:space="0" w:color="auto"/>
            </w:tcBorders>
          </w:tcPr>
          <w:p w:rsidR="005F207B" w:rsidRPr="00123E93" w:rsidRDefault="005F207B" w:rsidP="009368C4">
            <w:pPr>
              <w:rPr>
                <w:rFonts w:ascii="Calibri" w:hAnsi="Calibri"/>
                <w:b/>
                <w:sz w:val="22"/>
                <w:szCs w:val="22"/>
              </w:rPr>
            </w:pPr>
          </w:p>
        </w:tc>
        <w:tc>
          <w:tcPr>
            <w:tcW w:w="10598" w:type="dxa"/>
            <w:tcBorders>
              <w:left w:val="single" w:sz="4" w:space="0" w:color="auto"/>
            </w:tcBorders>
          </w:tcPr>
          <w:p w:rsidR="005F207B" w:rsidRPr="00123E93" w:rsidRDefault="005F207B" w:rsidP="009368C4">
            <w:pPr>
              <w:jc w:val="both"/>
              <w:rPr>
                <w:rFonts w:ascii="Calibri" w:hAnsi="Calibri"/>
                <w:b/>
                <w:sz w:val="22"/>
                <w:szCs w:val="22"/>
              </w:rPr>
            </w:pPr>
            <w:r w:rsidRPr="00C32D7E">
              <w:rPr>
                <w:rFonts w:ascii="Calibri" w:eastAsia="Times New Roman" w:hAnsi="Calibri" w:cs="Times New Roman"/>
                <w:sz w:val="22"/>
                <w:szCs w:val="22"/>
              </w:rPr>
              <w:t xml:space="preserve">Eine entsprechende Gesetzesinitiative wurde sowohl dem Europäischen Parlament als auch dem Rat der Europäischen Union vorgelegt. Sie beinhaltete sowohl einen erleichterten Zugang zu bezahlten Internetdiensten (z. Bsp. </w:t>
            </w:r>
            <w:proofErr w:type="spellStart"/>
            <w:r w:rsidRPr="00C32D7E">
              <w:rPr>
                <w:rFonts w:ascii="Calibri" w:eastAsia="Times New Roman" w:hAnsi="Calibri" w:cs="Times New Roman"/>
                <w:sz w:val="22"/>
                <w:szCs w:val="22"/>
              </w:rPr>
              <w:t>Netflix</w:t>
            </w:r>
            <w:proofErr w:type="spellEnd"/>
            <w:r w:rsidRPr="00C32D7E">
              <w:rPr>
                <w:rFonts w:ascii="Calibri" w:eastAsia="Times New Roman" w:hAnsi="Calibri" w:cs="Times New Roman"/>
                <w:sz w:val="22"/>
                <w:szCs w:val="22"/>
              </w:rPr>
              <w:t xml:space="preserve">, </w:t>
            </w:r>
            <w:proofErr w:type="spellStart"/>
            <w:r w:rsidRPr="00C32D7E">
              <w:rPr>
                <w:rFonts w:ascii="Calibri" w:eastAsia="Times New Roman" w:hAnsi="Calibri" w:cs="Times New Roman"/>
                <w:sz w:val="22"/>
                <w:szCs w:val="22"/>
              </w:rPr>
              <w:t>Spotify</w:t>
            </w:r>
            <w:proofErr w:type="spellEnd"/>
            <w:r w:rsidRPr="00C32D7E">
              <w:rPr>
                <w:rFonts w:ascii="Calibri" w:eastAsia="Times New Roman" w:hAnsi="Calibri" w:cs="Times New Roman"/>
                <w:sz w:val="22"/>
                <w:szCs w:val="22"/>
              </w:rPr>
              <w:t>) im EU-Ausland, sowie allgemein zu Film-, TV-Serien- oder Podcast-Mediatheken.  Doch im EU-Parlament konnte aufgrund einer starken europäischen Filmindustrie nur ein gesicherter Zugang zu Bezahl-Abos in der „</w:t>
            </w:r>
            <w:r w:rsidRPr="00C32D7E">
              <w:rPr>
                <w:rFonts w:ascii="Calibri" w:hAnsi="Calibri" w:cs="Helvetica"/>
                <w:sz w:val="22"/>
                <w:szCs w:val="22"/>
              </w:rPr>
              <w:t xml:space="preserve">Verordnung zur Gewährleistung der grenzüberschreitenden Portabilität von Online-Inhaltsdiensten im Binnenmarkt“ </w:t>
            </w:r>
            <w:r w:rsidRPr="00C32D7E">
              <w:rPr>
                <w:rFonts w:ascii="Calibri" w:eastAsia="Times New Roman" w:hAnsi="Calibri" w:cs="Times New Roman"/>
                <w:sz w:val="22"/>
                <w:szCs w:val="22"/>
              </w:rPr>
              <w:t>durchgesetzt werden.</w:t>
            </w:r>
          </w:p>
        </w:tc>
      </w:tr>
    </w:tbl>
    <w:p w:rsidR="005F207B" w:rsidRPr="00BC3908"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Tr="009368C4">
        <w:tc>
          <w:tcPr>
            <w:tcW w:w="1696" w:type="dxa"/>
            <w:tcBorders>
              <w:right w:val="single" w:sz="4" w:space="0" w:color="auto"/>
            </w:tcBorders>
          </w:tcPr>
          <w:p w:rsidR="005F207B" w:rsidRPr="00123E93" w:rsidRDefault="005F207B" w:rsidP="009368C4">
            <w:pPr>
              <w:rPr>
                <w:rFonts w:ascii="Calibri" w:hAnsi="Calibri"/>
                <w:b/>
                <w:sz w:val="22"/>
                <w:szCs w:val="22"/>
              </w:rPr>
            </w:pPr>
            <w:r w:rsidRPr="00123E93">
              <w:rPr>
                <w:rFonts w:ascii="Calibri" w:hAnsi="Calibri"/>
                <w:b/>
                <w:sz w:val="22"/>
                <w:szCs w:val="22"/>
              </w:rPr>
              <w:t>Gesetzgebungs-verfahren</w:t>
            </w:r>
          </w:p>
        </w:tc>
        <w:tc>
          <w:tcPr>
            <w:tcW w:w="1985" w:type="dxa"/>
            <w:tcBorders>
              <w:top w:val="nil"/>
              <w:left w:val="single" w:sz="4" w:space="0" w:color="auto"/>
              <w:bottom w:val="nil"/>
              <w:right w:val="single" w:sz="4" w:space="0" w:color="auto"/>
            </w:tcBorders>
          </w:tcPr>
          <w:p w:rsidR="005F207B" w:rsidRPr="00123E93" w:rsidRDefault="005F207B" w:rsidP="009368C4">
            <w:pPr>
              <w:rPr>
                <w:rFonts w:ascii="Calibri" w:hAnsi="Calibri"/>
                <w:b/>
                <w:sz w:val="22"/>
                <w:szCs w:val="22"/>
              </w:rPr>
            </w:pPr>
          </w:p>
        </w:tc>
        <w:tc>
          <w:tcPr>
            <w:tcW w:w="10598" w:type="dxa"/>
            <w:tcBorders>
              <w:left w:val="single" w:sz="4" w:space="0" w:color="auto"/>
            </w:tcBorders>
          </w:tcPr>
          <w:p w:rsidR="005F207B" w:rsidRPr="00123E93" w:rsidRDefault="005F207B" w:rsidP="009368C4">
            <w:pPr>
              <w:jc w:val="both"/>
              <w:rPr>
                <w:rFonts w:ascii="Calibri" w:eastAsia="Times New Roman" w:hAnsi="Calibri" w:cs="Times New Roman"/>
                <w:sz w:val="22"/>
                <w:szCs w:val="22"/>
              </w:rPr>
            </w:pPr>
            <w:r w:rsidRPr="00C32D7E">
              <w:rPr>
                <w:rFonts w:ascii="Calibri" w:eastAsia="Times New Roman" w:hAnsi="Calibri" w:cs="Times New Roman"/>
                <w:sz w:val="22"/>
                <w:szCs w:val="22"/>
              </w:rPr>
              <w:t xml:space="preserve">Ab dem 20. März 2018 müssen </w:t>
            </w:r>
            <w:proofErr w:type="spellStart"/>
            <w:r w:rsidRPr="00C32D7E">
              <w:rPr>
                <w:rFonts w:ascii="Calibri" w:eastAsia="Times New Roman" w:hAnsi="Calibri" w:cs="Times New Roman"/>
                <w:sz w:val="22"/>
                <w:szCs w:val="22"/>
              </w:rPr>
              <w:t>Netflix</w:t>
            </w:r>
            <w:proofErr w:type="spellEnd"/>
            <w:r w:rsidRPr="00C32D7E">
              <w:rPr>
                <w:rFonts w:ascii="Calibri" w:eastAsia="Times New Roman" w:hAnsi="Calibri" w:cs="Times New Roman"/>
                <w:sz w:val="22"/>
                <w:szCs w:val="22"/>
              </w:rPr>
              <w:t xml:space="preserve">, </w:t>
            </w:r>
            <w:proofErr w:type="spellStart"/>
            <w:r w:rsidRPr="00C32D7E">
              <w:rPr>
                <w:rFonts w:ascii="Calibri" w:eastAsia="Times New Roman" w:hAnsi="Calibri" w:cs="Times New Roman"/>
                <w:sz w:val="22"/>
                <w:szCs w:val="22"/>
              </w:rPr>
              <w:t>Spotify</w:t>
            </w:r>
            <w:proofErr w:type="spellEnd"/>
            <w:r w:rsidRPr="00C32D7E">
              <w:rPr>
                <w:rFonts w:ascii="Calibri" w:eastAsia="Times New Roman" w:hAnsi="Calibri" w:cs="Times New Roman"/>
                <w:sz w:val="22"/>
                <w:szCs w:val="22"/>
              </w:rPr>
              <w:t xml:space="preserve"> und Co. ihr Angebot ihren Nutzern im jeweiligen Ausland entsprechend der Verordnung ohne Einschränkungen für einen „vorübergehenden Aufenthalt“ ermöglichen. Dazu haben die Dienste beim Kauf des Abonnements eingeführt, dass die Nutzer*innen genauere Angaben zur Identifikation machen müssen.</w:t>
            </w:r>
          </w:p>
        </w:tc>
      </w:tr>
    </w:tbl>
    <w:p w:rsidR="005F207B" w:rsidRPr="00BC3908"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Tr="009368C4">
        <w:tc>
          <w:tcPr>
            <w:tcW w:w="1696" w:type="dxa"/>
            <w:tcBorders>
              <w:right w:val="single" w:sz="4" w:space="0" w:color="auto"/>
            </w:tcBorders>
          </w:tcPr>
          <w:p w:rsidR="005F207B" w:rsidRPr="00123E93" w:rsidRDefault="005F207B" w:rsidP="009368C4">
            <w:pPr>
              <w:rPr>
                <w:rFonts w:ascii="Calibri" w:hAnsi="Calibri"/>
                <w:b/>
                <w:sz w:val="22"/>
                <w:szCs w:val="22"/>
              </w:rPr>
            </w:pPr>
            <w:r w:rsidRPr="00123E93">
              <w:rPr>
                <w:rFonts w:ascii="Calibri" w:hAnsi="Calibri"/>
                <w:b/>
                <w:sz w:val="22"/>
                <w:szCs w:val="22"/>
              </w:rPr>
              <w:t>Umsetzung</w:t>
            </w:r>
          </w:p>
        </w:tc>
        <w:tc>
          <w:tcPr>
            <w:tcW w:w="1985" w:type="dxa"/>
            <w:tcBorders>
              <w:top w:val="nil"/>
              <w:left w:val="single" w:sz="4" w:space="0" w:color="auto"/>
              <w:bottom w:val="nil"/>
              <w:right w:val="single" w:sz="4" w:space="0" w:color="auto"/>
            </w:tcBorders>
          </w:tcPr>
          <w:p w:rsidR="005F207B" w:rsidRPr="00123E93" w:rsidRDefault="005F207B" w:rsidP="009368C4">
            <w:pPr>
              <w:rPr>
                <w:rFonts w:ascii="Calibri" w:hAnsi="Calibri"/>
                <w:b/>
                <w:sz w:val="22"/>
                <w:szCs w:val="22"/>
              </w:rPr>
            </w:pPr>
          </w:p>
        </w:tc>
        <w:tc>
          <w:tcPr>
            <w:tcW w:w="10598" w:type="dxa"/>
            <w:tcBorders>
              <w:left w:val="single" w:sz="4" w:space="0" w:color="auto"/>
            </w:tcBorders>
          </w:tcPr>
          <w:p w:rsidR="005F207B" w:rsidRPr="00123E93" w:rsidRDefault="005F207B" w:rsidP="009368C4">
            <w:pPr>
              <w:jc w:val="both"/>
              <w:rPr>
                <w:rFonts w:ascii="Calibri" w:hAnsi="Calibri"/>
                <w:b/>
                <w:sz w:val="22"/>
                <w:szCs w:val="22"/>
              </w:rPr>
            </w:pPr>
            <w:r w:rsidRPr="00C32D7E">
              <w:rPr>
                <w:rFonts w:ascii="Calibri" w:eastAsia="Times New Roman" w:hAnsi="Calibri" w:cs="Times New Roman"/>
                <w:sz w:val="22"/>
                <w:szCs w:val="22"/>
              </w:rPr>
              <w:t xml:space="preserve">Die europäischen Institutionen sowie Verbraucherschutzorganisationen werden überprüfen, ob alle Anbieter von kostenpflichtigen Abonnements digitaler Inhalte das </w:t>
            </w:r>
            <w:proofErr w:type="spellStart"/>
            <w:r w:rsidRPr="00C32D7E">
              <w:rPr>
                <w:rFonts w:ascii="Calibri" w:eastAsia="Times New Roman" w:hAnsi="Calibri" w:cs="Times New Roman"/>
                <w:sz w:val="22"/>
                <w:szCs w:val="22"/>
              </w:rPr>
              <w:t>Geoblocking</w:t>
            </w:r>
            <w:proofErr w:type="spellEnd"/>
            <w:r w:rsidRPr="00C32D7E">
              <w:rPr>
                <w:rFonts w:ascii="Calibri" w:eastAsia="Times New Roman" w:hAnsi="Calibri" w:cs="Times New Roman"/>
                <w:sz w:val="22"/>
                <w:szCs w:val="22"/>
              </w:rPr>
              <w:t xml:space="preserve"> für ihre europäischen Kund*innen zumindest für einen gewissen Zeitraum deaktivieren.</w:t>
            </w:r>
            <w:r w:rsidRPr="00C32D7E">
              <w:rPr>
                <w:rFonts w:ascii="Calibri" w:eastAsia="Times New Roman" w:hAnsi="Calibri" w:cs="Times New Roman"/>
                <w:i/>
                <w:sz w:val="22"/>
                <w:szCs w:val="22"/>
              </w:rPr>
              <w:t xml:space="preserve">  </w:t>
            </w:r>
          </w:p>
        </w:tc>
      </w:tr>
    </w:tbl>
    <w:p w:rsidR="005F207B" w:rsidRPr="00BC3908"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Tr="009368C4">
        <w:tc>
          <w:tcPr>
            <w:tcW w:w="1696" w:type="dxa"/>
            <w:tcBorders>
              <w:right w:val="single" w:sz="4" w:space="0" w:color="auto"/>
            </w:tcBorders>
          </w:tcPr>
          <w:p w:rsidR="005F207B" w:rsidRPr="00123E93" w:rsidRDefault="005F207B" w:rsidP="009368C4">
            <w:pPr>
              <w:rPr>
                <w:rFonts w:ascii="Calibri" w:hAnsi="Calibri"/>
                <w:b/>
                <w:sz w:val="22"/>
                <w:szCs w:val="22"/>
              </w:rPr>
            </w:pPr>
            <w:r w:rsidRPr="00123E93">
              <w:rPr>
                <w:rFonts w:ascii="Calibri" w:hAnsi="Calibri"/>
                <w:b/>
                <w:sz w:val="22"/>
                <w:szCs w:val="22"/>
              </w:rPr>
              <w:t>Bewertung</w:t>
            </w:r>
          </w:p>
        </w:tc>
        <w:tc>
          <w:tcPr>
            <w:tcW w:w="1985" w:type="dxa"/>
            <w:tcBorders>
              <w:top w:val="nil"/>
              <w:left w:val="single" w:sz="4" w:space="0" w:color="auto"/>
              <w:bottom w:val="nil"/>
              <w:right w:val="single" w:sz="4" w:space="0" w:color="auto"/>
            </w:tcBorders>
          </w:tcPr>
          <w:p w:rsidR="005F207B" w:rsidRPr="00123E93" w:rsidRDefault="005F207B" w:rsidP="009368C4">
            <w:pPr>
              <w:rPr>
                <w:rFonts w:ascii="Calibri" w:hAnsi="Calibri"/>
                <w:b/>
                <w:sz w:val="22"/>
                <w:szCs w:val="22"/>
              </w:rPr>
            </w:pPr>
          </w:p>
        </w:tc>
        <w:tc>
          <w:tcPr>
            <w:tcW w:w="10598" w:type="dxa"/>
            <w:tcBorders>
              <w:left w:val="single" w:sz="4" w:space="0" w:color="auto"/>
            </w:tcBorders>
          </w:tcPr>
          <w:p w:rsidR="005F207B" w:rsidRPr="00123E93" w:rsidRDefault="005F207B" w:rsidP="009368C4">
            <w:pPr>
              <w:jc w:val="both"/>
              <w:rPr>
                <w:sz w:val="22"/>
                <w:szCs w:val="22"/>
              </w:rPr>
            </w:pPr>
            <w:r w:rsidRPr="00C32D7E">
              <w:rPr>
                <w:rFonts w:ascii="Calibri" w:eastAsia="Times New Roman" w:hAnsi="Calibri" w:cs="Times New Roman"/>
                <w:sz w:val="22"/>
                <w:szCs w:val="22"/>
              </w:rPr>
              <w:t>Die Europäische Kommission, die gerade an Plänen zum gemeinsamen digitalen Binnenmarkt gearbeitet hatte, nahm auch dieses Problem in ihre Agenda auf und nahm sich zum Ziel den EU-Bürger*innen den Zugriff auf digitale Medien zu erleichtern.</w:t>
            </w:r>
          </w:p>
        </w:tc>
      </w:tr>
    </w:tbl>
    <w:p w:rsidR="005F207B" w:rsidRDefault="005F207B" w:rsidP="005F207B">
      <w:pPr>
        <w:rPr>
          <w:rFonts w:ascii="Calibri" w:hAnsi="Calibri"/>
          <w:b/>
          <w:i/>
        </w:rPr>
      </w:pPr>
      <w:bookmarkStart w:id="0" w:name="_GoBack"/>
      <w:bookmarkEnd w:id="0"/>
    </w:p>
    <w:p w:rsidR="005F207B" w:rsidRDefault="005F207B" w:rsidP="005F207B">
      <w:pPr>
        <w:rPr>
          <w:rFonts w:ascii="Calibri" w:hAnsi="Calibri"/>
          <w:i/>
        </w:rPr>
      </w:pPr>
      <w:r>
        <w:rPr>
          <w:rFonts w:ascii="Calibri" w:hAnsi="Calibri"/>
          <w:b/>
          <w:i/>
        </w:rPr>
        <w:t>Anmerkung:</w:t>
      </w:r>
    </w:p>
    <w:p w:rsidR="005F207B" w:rsidRDefault="005F207B" w:rsidP="005F207B">
      <w:pPr>
        <w:pStyle w:val="Listenabsatz"/>
        <w:numPr>
          <w:ilvl w:val="0"/>
          <w:numId w:val="3"/>
        </w:numPr>
        <w:rPr>
          <w:rFonts w:ascii="Calibri" w:hAnsi="Calibri"/>
          <w:i/>
          <w:sz w:val="22"/>
          <w:szCs w:val="22"/>
        </w:rPr>
      </w:pPr>
      <w:r w:rsidRPr="0033334E">
        <w:rPr>
          <w:rFonts w:ascii="Calibri" w:hAnsi="Calibri"/>
          <w:i/>
          <w:sz w:val="22"/>
          <w:szCs w:val="22"/>
        </w:rPr>
        <w:t>Wahl der Bezahldienste frei, wir möchten hiermit nicht für diese werben</w:t>
      </w:r>
      <w:r>
        <w:rPr>
          <w:rFonts w:ascii="Calibri" w:hAnsi="Calibri"/>
          <w:i/>
          <w:sz w:val="22"/>
          <w:szCs w:val="22"/>
        </w:rPr>
        <w:t>.</w:t>
      </w:r>
    </w:p>
    <w:p w:rsidR="005F207B" w:rsidRPr="004F243B" w:rsidRDefault="005F207B" w:rsidP="005F207B">
      <w:pPr>
        <w:rPr>
          <w:rFonts w:ascii="Calibri" w:hAnsi="Calibri"/>
          <w:i/>
          <w:sz w:val="22"/>
          <w:szCs w:val="22"/>
        </w:rPr>
      </w:pPr>
      <w:r w:rsidRPr="004F243B">
        <w:rPr>
          <w:rFonts w:ascii="Calibri" w:hAnsi="Calibri"/>
          <w:b/>
          <w:sz w:val="32"/>
        </w:rPr>
        <w:lastRenderedPageBreak/>
        <w:t>Politikzyklus: Zugang zu Wasser</w:t>
      </w:r>
    </w:p>
    <w:p w:rsidR="005F207B" w:rsidRPr="00A4499E" w:rsidRDefault="005F207B" w:rsidP="005F207B">
      <w:pPr>
        <w:rPr>
          <w:rFonts w:ascii="Calibri" w:hAnsi="Calibri"/>
        </w:rPr>
      </w:pPr>
      <w:r w:rsidRPr="00A4499E">
        <w:rPr>
          <w:rFonts w:ascii="Calibri" w:hAnsi="Calibri"/>
          <w:b/>
        </w:rPr>
        <w:t xml:space="preserve">Aufgabe: </w:t>
      </w:r>
      <w:r w:rsidRPr="00A4499E">
        <w:rPr>
          <w:rFonts w:ascii="Calibri" w:hAnsi="Calibri"/>
        </w:rPr>
        <w:t>Suche zu jedem der sechs Schritte des Politikzyklus (links) den passenden Text (rechts) und verbinde diese mit einer Linie.</w:t>
      </w:r>
    </w:p>
    <w:p w:rsidR="005F207B" w:rsidRPr="007E1489" w:rsidRDefault="005F207B" w:rsidP="005F207B">
      <w:pPr>
        <w:rPr>
          <w:rFonts w:ascii="Calibri" w:hAnsi="Calibri"/>
          <w:sz w:val="22"/>
        </w:rPr>
      </w:pPr>
    </w:p>
    <w:tbl>
      <w:tblPr>
        <w:tblStyle w:val="Tabellenraster"/>
        <w:tblW w:w="0" w:type="auto"/>
        <w:tblLook w:val="04A0" w:firstRow="1" w:lastRow="0" w:firstColumn="1" w:lastColumn="0" w:noHBand="0" w:noVBand="1"/>
      </w:tblPr>
      <w:tblGrid>
        <w:gridCol w:w="1696"/>
        <w:gridCol w:w="1985"/>
        <w:gridCol w:w="10598"/>
      </w:tblGrid>
      <w:tr w:rsidR="005F207B" w:rsidTr="009368C4">
        <w:tc>
          <w:tcPr>
            <w:tcW w:w="1696" w:type="dxa"/>
            <w:tcBorders>
              <w:right w:val="single" w:sz="4" w:space="0" w:color="auto"/>
            </w:tcBorders>
          </w:tcPr>
          <w:p w:rsidR="005F207B" w:rsidRPr="00123E93" w:rsidRDefault="005F207B" w:rsidP="009368C4">
            <w:pPr>
              <w:rPr>
                <w:rFonts w:ascii="Calibri" w:hAnsi="Calibri"/>
                <w:b/>
                <w:sz w:val="22"/>
                <w:szCs w:val="22"/>
              </w:rPr>
            </w:pPr>
            <w:r w:rsidRPr="00123E93">
              <w:rPr>
                <w:rFonts w:ascii="Calibri" w:hAnsi="Calibri"/>
                <w:b/>
                <w:sz w:val="22"/>
                <w:szCs w:val="22"/>
              </w:rPr>
              <w:t>Problem</w:t>
            </w:r>
          </w:p>
        </w:tc>
        <w:tc>
          <w:tcPr>
            <w:tcW w:w="1985" w:type="dxa"/>
            <w:tcBorders>
              <w:top w:val="nil"/>
              <w:left w:val="single" w:sz="4" w:space="0" w:color="auto"/>
              <w:bottom w:val="nil"/>
              <w:right w:val="single" w:sz="4" w:space="0" w:color="auto"/>
            </w:tcBorders>
          </w:tcPr>
          <w:p w:rsidR="005F207B" w:rsidRPr="00123E93" w:rsidRDefault="005F207B" w:rsidP="009368C4">
            <w:pPr>
              <w:rPr>
                <w:rFonts w:ascii="Calibri" w:hAnsi="Calibri"/>
                <w:b/>
                <w:sz w:val="22"/>
                <w:szCs w:val="22"/>
              </w:rPr>
            </w:pPr>
          </w:p>
        </w:tc>
        <w:tc>
          <w:tcPr>
            <w:tcW w:w="10598" w:type="dxa"/>
            <w:tcBorders>
              <w:left w:val="single" w:sz="4" w:space="0" w:color="auto"/>
            </w:tcBorders>
          </w:tcPr>
          <w:p w:rsidR="005F207B" w:rsidRPr="00123E93" w:rsidRDefault="005F207B" w:rsidP="009368C4">
            <w:pPr>
              <w:jc w:val="both"/>
              <w:rPr>
                <w:rFonts w:ascii="Calibri" w:hAnsi="Calibri"/>
                <w:sz w:val="22"/>
                <w:szCs w:val="22"/>
              </w:rPr>
            </w:pPr>
            <w:r w:rsidRPr="00C32D7E">
              <w:rPr>
                <w:rFonts w:ascii="Calibri" w:eastAsia="Times New Roman" w:hAnsi="Calibri"/>
                <w:color w:val="000000"/>
                <w:sz w:val="22"/>
                <w:shd w:val="clear" w:color="auto" w:fill="FFFFFF"/>
              </w:rPr>
              <w:t>Da mehr als 1,6 Mio. EU-Bürger*innen aus mehr als 6 EU-Mitgliedstaaten die Initiative unterschrieben, musste die Kommission sich innerhalb von drei Monate zu der Initiative äußern und ihre rechtlichen und politischen Schlussfolgerungen zu der Bürgerinitiative sowie ihr weiteres Vorgehen bzw. den Verzicht auf ein weiteres Vorgehen und die Gründe dafür darlegen. Die Organisatoren wurden 2014 von der Kommission empfangen und erhielten noch am selben Tag die Gelegenheit, ihre Initiative in einer öffentlichen Anhörung im Europäischen Parlament vorzustellen.</w:t>
            </w:r>
          </w:p>
        </w:tc>
      </w:tr>
    </w:tbl>
    <w:p w:rsidR="005F207B" w:rsidRPr="00BC3908"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Tr="009368C4">
        <w:tc>
          <w:tcPr>
            <w:tcW w:w="1696" w:type="dxa"/>
            <w:tcBorders>
              <w:right w:val="single" w:sz="4" w:space="0" w:color="auto"/>
            </w:tcBorders>
          </w:tcPr>
          <w:p w:rsidR="005F207B" w:rsidRPr="00123E93" w:rsidRDefault="005F207B" w:rsidP="009368C4">
            <w:pPr>
              <w:rPr>
                <w:rFonts w:ascii="Calibri" w:hAnsi="Calibri"/>
                <w:b/>
                <w:sz w:val="22"/>
                <w:szCs w:val="22"/>
              </w:rPr>
            </w:pPr>
            <w:r w:rsidRPr="00123E93">
              <w:rPr>
                <w:rFonts w:ascii="Calibri" w:hAnsi="Calibri"/>
                <w:b/>
                <w:sz w:val="22"/>
                <w:szCs w:val="22"/>
              </w:rPr>
              <w:t>Artikulation</w:t>
            </w:r>
          </w:p>
        </w:tc>
        <w:tc>
          <w:tcPr>
            <w:tcW w:w="1985" w:type="dxa"/>
            <w:tcBorders>
              <w:top w:val="nil"/>
              <w:left w:val="single" w:sz="4" w:space="0" w:color="auto"/>
              <w:bottom w:val="nil"/>
              <w:right w:val="single" w:sz="4" w:space="0" w:color="auto"/>
            </w:tcBorders>
          </w:tcPr>
          <w:p w:rsidR="005F207B" w:rsidRPr="00123E93" w:rsidRDefault="005F207B" w:rsidP="009368C4">
            <w:pPr>
              <w:rPr>
                <w:rFonts w:ascii="Calibri" w:hAnsi="Calibri"/>
                <w:b/>
                <w:sz w:val="22"/>
                <w:szCs w:val="22"/>
              </w:rPr>
            </w:pPr>
          </w:p>
        </w:tc>
        <w:tc>
          <w:tcPr>
            <w:tcW w:w="10598" w:type="dxa"/>
            <w:tcBorders>
              <w:left w:val="single" w:sz="4" w:space="0" w:color="auto"/>
            </w:tcBorders>
          </w:tcPr>
          <w:p w:rsidR="005F207B" w:rsidRPr="00C32D7E" w:rsidRDefault="005F207B" w:rsidP="009368C4">
            <w:pPr>
              <w:pStyle w:val="StandardWeb"/>
              <w:jc w:val="both"/>
              <w:rPr>
                <w:rFonts w:ascii="Calibri" w:eastAsia="Times New Roman" w:hAnsi="Calibri"/>
                <w:color w:val="000000"/>
                <w:sz w:val="22"/>
                <w:szCs w:val="22"/>
                <w:shd w:val="clear" w:color="auto" w:fill="FFFFFF"/>
              </w:rPr>
            </w:pPr>
            <w:r w:rsidRPr="00C32D7E">
              <w:rPr>
                <w:rFonts w:ascii="Calibri" w:eastAsia="Times New Roman" w:hAnsi="Calibri"/>
                <w:sz w:val="22"/>
                <w:szCs w:val="22"/>
                <w:shd w:val="clear" w:color="auto" w:fill="FFFFFF"/>
              </w:rPr>
              <w:t>Die Mitgliedstaaten mussten dieser Richtlinie nach EU-Recht bis spätestens 27. Oktober 2017 nachkommen. Das deutsche Bundesministerium für Gesundheit entwarf eine Anpassung der deutschen Trinkwasserverordnung an die europäische Trinkwasserrichtlinie und legte diese im Juni 2016 verschiedenen Verbänden vor, z.B. dem Deutschen Verein des Gas- und Wasserfaches. Erst am 9. Januar 2018 wurde die Richtlinie mit Verspätung in deutsches Recht umgesetzt.</w:t>
            </w:r>
          </w:p>
        </w:tc>
      </w:tr>
    </w:tbl>
    <w:p w:rsidR="005F207B" w:rsidRPr="00BC3908"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Tr="009368C4">
        <w:tc>
          <w:tcPr>
            <w:tcW w:w="1696" w:type="dxa"/>
            <w:tcBorders>
              <w:right w:val="single" w:sz="4" w:space="0" w:color="auto"/>
            </w:tcBorders>
          </w:tcPr>
          <w:p w:rsidR="005F207B" w:rsidRPr="00123E93" w:rsidRDefault="005F207B" w:rsidP="009368C4">
            <w:pPr>
              <w:rPr>
                <w:rFonts w:ascii="Calibri" w:hAnsi="Calibri"/>
                <w:b/>
                <w:sz w:val="22"/>
                <w:szCs w:val="22"/>
              </w:rPr>
            </w:pPr>
            <w:r w:rsidRPr="00123E93">
              <w:rPr>
                <w:rFonts w:ascii="Calibri" w:hAnsi="Calibri"/>
                <w:b/>
                <w:sz w:val="22"/>
                <w:szCs w:val="22"/>
              </w:rPr>
              <w:t>Politische Tagesordnung</w:t>
            </w:r>
          </w:p>
        </w:tc>
        <w:tc>
          <w:tcPr>
            <w:tcW w:w="1985" w:type="dxa"/>
            <w:tcBorders>
              <w:top w:val="nil"/>
              <w:left w:val="single" w:sz="4" w:space="0" w:color="auto"/>
              <w:bottom w:val="nil"/>
              <w:right w:val="single" w:sz="4" w:space="0" w:color="auto"/>
            </w:tcBorders>
          </w:tcPr>
          <w:p w:rsidR="005F207B" w:rsidRPr="00123E93" w:rsidRDefault="005F207B" w:rsidP="009368C4">
            <w:pPr>
              <w:rPr>
                <w:rFonts w:ascii="Calibri" w:hAnsi="Calibri"/>
                <w:b/>
                <w:sz w:val="22"/>
                <w:szCs w:val="22"/>
              </w:rPr>
            </w:pPr>
          </w:p>
        </w:tc>
        <w:tc>
          <w:tcPr>
            <w:tcW w:w="10598" w:type="dxa"/>
            <w:tcBorders>
              <w:left w:val="single" w:sz="4" w:space="0" w:color="auto"/>
            </w:tcBorders>
          </w:tcPr>
          <w:p w:rsidR="005F207B" w:rsidRPr="00123E93" w:rsidRDefault="005F207B" w:rsidP="009368C4">
            <w:pPr>
              <w:pStyle w:val="StandardWeb"/>
              <w:jc w:val="both"/>
              <w:rPr>
                <w:rFonts w:ascii="Calibri" w:eastAsia="Times New Roman" w:hAnsi="Calibri"/>
                <w:color w:val="000000"/>
                <w:sz w:val="22"/>
                <w:szCs w:val="22"/>
                <w:shd w:val="clear" w:color="auto" w:fill="FFFFFF"/>
              </w:rPr>
            </w:pPr>
            <w:r w:rsidRPr="00C32D7E">
              <w:rPr>
                <w:rFonts w:ascii="Calibri" w:hAnsi="Calibri"/>
                <w:sz w:val="22"/>
                <w:szCs w:val="24"/>
              </w:rPr>
              <w:t>Es formierte sich 2012 eine Europäische Bürgerinitiative (EBI) „Right2Water“ (Recht auf Wasser), welche online auf der Seite der Kommission unter der Bezeichnung „</w:t>
            </w:r>
            <w:r w:rsidRPr="00C32D7E">
              <w:rPr>
                <w:rFonts w:ascii="Calibri" w:eastAsia="Times New Roman" w:hAnsi="Calibri"/>
                <w:bCs/>
                <w:color w:val="000000"/>
                <w:sz w:val="22"/>
                <w:szCs w:val="24"/>
                <w:shd w:val="clear" w:color="auto" w:fill="FFFFFF"/>
              </w:rPr>
              <w:t xml:space="preserve">Wasser und sanitäre Grundversorgung sind ein Menschenrecht! Wasser ist ein öffentliches Gut und keine Handelsware!“ zu finden war. </w:t>
            </w:r>
            <w:r w:rsidRPr="00C32D7E">
              <w:rPr>
                <w:rFonts w:ascii="Calibri" w:eastAsia="Times New Roman" w:hAnsi="Calibri"/>
                <w:color w:val="000000"/>
                <w:sz w:val="22"/>
                <w:szCs w:val="24"/>
                <w:shd w:val="clear" w:color="auto" w:fill="FFFFFF"/>
              </w:rPr>
              <w:t>Die Initiative forderte die Kommission zur Vorlage eines Gesetzesvorschlags auf, der das Menschenrecht auf Wasser und sanitäre Grundversorgung entsprechend einer Resolution der Vereinten Nationen durchsetzen würde und eine funktionierende Wasser- und Abwasserwirtschaft als existenzsichernde öffentliche Dienstleistung für alle Menschen fördern würde. Jede*r EU-Bürger*in konnte die Initiative online unterschreiben.</w:t>
            </w:r>
          </w:p>
        </w:tc>
      </w:tr>
    </w:tbl>
    <w:p w:rsidR="005F207B" w:rsidRPr="00BC3908"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Tr="009368C4">
        <w:tc>
          <w:tcPr>
            <w:tcW w:w="1696" w:type="dxa"/>
            <w:tcBorders>
              <w:right w:val="single" w:sz="4" w:space="0" w:color="auto"/>
            </w:tcBorders>
          </w:tcPr>
          <w:p w:rsidR="005F207B" w:rsidRPr="00123E93" w:rsidRDefault="005F207B" w:rsidP="009368C4">
            <w:pPr>
              <w:rPr>
                <w:rFonts w:ascii="Calibri" w:hAnsi="Calibri"/>
                <w:b/>
                <w:sz w:val="22"/>
                <w:szCs w:val="22"/>
              </w:rPr>
            </w:pPr>
            <w:r w:rsidRPr="00123E93">
              <w:rPr>
                <w:rFonts w:ascii="Calibri" w:hAnsi="Calibri"/>
                <w:b/>
                <w:sz w:val="22"/>
                <w:szCs w:val="22"/>
              </w:rPr>
              <w:t>Gesetzgebungs-verfahren</w:t>
            </w:r>
          </w:p>
        </w:tc>
        <w:tc>
          <w:tcPr>
            <w:tcW w:w="1985" w:type="dxa"/>
            <w:tcBorders>
              <w:top w:val="nil"/>
              <w:left w:val="single" w:sz="4" w:space="0" w:color="auto"/>
              <w:bottom w:val="nil"/>
              <w:right w:val="single" w:sz="4" w:space="0" w:color="auto"/>
            </w:tcBorders>
          </w:tcPr>
          <w:p w:rsidR="005F207B" w:rsidRPr="00123E93" w:rsidRDefault="005F207B" w:rsidP="009368C4">
            <w:pPr>
              <w:rPr>
                <w:rFonts w:ascii="Calibri" w:hAnsi="Calibri"/>
                <w:b/>
                <w:sz w:val="22"/>
                <w:szCs w:val="22"/>
              </w:rPr>
            </w:pPr>
          </w:p>
        </w:tc>
        <w:tc>
          <w:tcPr>
            <w:tcW w:w="10598" w:type="dxa"/>
            <w:tcBorders>
              <w:left w:val="single" w:sz="4" w:space="0" w:color="auto"/>
            </w:tcBorders>
          </w:tcPr>
          <w:p w:rsidR="005F207B" w:rsidRPr="00123E93" w:rsidRDefault="005F207B" w:rsidP="009368C4">
            <w:pPr>
              <w:jc w:val="both"/>
              <w:rPr>
                <w:rFonts w:ascii="Calibri" w:hAnsi="Calibri"/>
                <w:sz w:val="22"/>
                <w:szCs w:val="22"/>
              </w:rPr>
            </w:pPr>
            <w:r w:rsidRPr="00C32D7E">
              <w:rPr>
                <w:rFonts w:ascii="Calibri" w:eastAsia="Times New Roman" w:hAnsi="Calibri" w:cs="Times New Roman"/>
                <w:sz w:val="22"/>
                <w:shd w:val="clear" w:color="auto" w:fill="FFFFFF"/>
              </w:rPr>
              <w:t>Die Auswirkung auf die Trinkwasserqualitätsüberprüfung aufgrund der europäischen Initiative muss in naher Zukunft EU-weit untersucht und bewertet werden.</w:t>
            </w:r>
          </w:p>
        </w:tc>
      </w:tr>
    </w:tbl>
    <w:p w:rsidR="005F207B" w:rsidRPr="00BC3908"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Tr="009368C4">
        <w:tc>
          <w:tcPr>
            <w:tcW w:w="1696" w:type="dxa"/>
            <w:tcBorders>
              <w:right w:val="single" w:sz="4" w:space="0" w:color="auto"/>
            </w:tcBorders>
          </w:tcPr>
          <w:p w:rsidR="005F207B" w:rsidRPr="00123E93" w:rsidRDefault="005F207B" w:rsidP="009368C4">
            <w:pPr>
              <w:rPr>
                <w:rFonts w:ascii="Calibri" w:hAnsi="Calibri"/>
                <w:b/>
                <w:sz w:val="22"/>
                <w:szCs w:val="22"/>
              </w:rPr>
            </w:pPr>
            <w:r w:rsidRPr="00123E93">
              <w:rPr>
                <w:rFonts w:ascii="Calibri" w:hAnsi="Calibri"/>
                <w:b/>
                <w:sz w:val="22"/>
                <w:szCs w:val="22"/>
              </w:rPr>
              <w:t>Umsetzung</w:t>
            </w:r>
          </w:p>
        </w:tc>
        <w:tc>
          <w:tcPr>
            <w:tcW w:w="1985" w:type="dxa"/>
            <w:tcBorders>
              <w:top w:val="nil"/>
              <w:left w:val="single" w:sz="4" w:space="0" w:color="auto"/>
              <w:bottom w:val="nil"/>
              <w:right w:val="single" w:sz="4" w:space="0" w:color="auto"/>
            </w:tcBorders>
          </w:tcPr>
          <w:p w:rsidR="005F207B" w:rsidRPr="00123E93" w:rsidRDefault="005F207B" w:rsidP="009368C4">
            <w:pPr>
              <w:rPr>
                <w:rFonts w:ascii="Calibri" w:hAnsi="Calibri"/>
                <w:b/>
                <w:sz w:val="22"/>
                <w:szCs w:val="22"/>
              </w:rPr>
            </w:pPr>
          </w:p>
        </w:tc>
        <w:tc>
          <w:tcPr>
            <w:tcW w:w="10598" w:type="dxa"/>
            <w:tcBorders>
              <w:left w:val="single" w:sz="4" w:space="0" w:color="auto"/>
            </w:tcBorders>
          </w:tcPr>
          <w:p w:rsidR="005F207B" w:rsidRPr="00123E93" w:rsidRDefault="005F207B" w:rsidP="009368C4">
            <w:pPr>
              <w:jc w:val="both"/>
              <w:rPr>
                <w:rFonts w:ascii="Calibri" w:hAnsi="Calibri"/>
                <w:sz w:val="22"/>
                <w:szCs w:val="22"/>
              </w:rPr>
            </w:pPr>
            <w:r w:rsidRPr="00C32D7E">
              <w:rPr>
                <w:rFonts w:ascii="Calibri" w:hAnsi="Calibri"/>
                <w:sz w:val="22"/>
              </w:rPr>
              <w:t xml:space="preserve">Auf </w:t>
            </w:r>
            <w:r>
              <w:rPr>
                <w:rFonts w:ascii="Calibri" w:hAnsi="Calibri"/>
                <w:sz w:val="22"/>
              </w:rPr>
              <w:t>einer Konferenz</w:t>
            </w:r>
            <w:r w:rsidRPr="00C32D7E">
              <w:rPr>
                <w:rFonts w:ascii="Calibri" w:hAnsi="Calibri"/>
                <w:sz w:val="22"/>
              </w:rPr>
              <w:t xml:space="preserve"> 2008 in Stockholm stellte man fest, dass 20 Millionen europäische Bürger*innen nicht ausreichend</w:t>
            </w:r>
            <w:r w:rsidRPr="00C32D7E">
              <w:rPr>
                <w:rFonts w:ascii="Calibri" w:eastAsia="Times New Roman" w:hAnsi="Calibri" w:cs="Times New Roman"/>
                <w:color w:val="000000"/>
                <w:sz w:val="22"/>
                <w:shd w:val="clear" w:color="auto" w:fill="FFFFFF"/>
              </w:rPr>
              <w:t xml:space="preserve"> mit sauberem Trinkwasser versorgt waren sowie teils die sanitäre Grundversorgung nicht gesichert war.</w:t>
            </w:r>
          </w:p>
        </w:tc>
      </w:tr>
    </w:tbl>
    <w:p w:rsidR="005F207B" w:rsidRPr="00BC3908" w:rsidRDefault="005F207B" w:rsidP="005F207B">
      <w:pPr>
        <w:rPr>
          <w:sz w:val="8"/>
          <w:szCs w:val="8"/>
        </w:rPr>
      </w:pPr>
    </w:p>
    <w:tbl>
      <w:tblPr>
        <w:tblStyle w:val="Tabellenraster"/>
        <w:tblW w:w="0" w:type="auto"/>
        <w:tblLook w:val="04A0" w:firstRow="1" w:lastRow="0" w:firstColumn="1" w:lastColumn="0" w:noHBand="0" w:noVBand="1"/>
      </w:tblPr>
      <w:tblGrid>
        <w:gridCol w:w="1696"/>
        <w:gridCol w:w="1985"/>
        <w:gridCol w:w="10598"/>
      </w:tblGrid>
      <w:tr w:rsidR="005F207B" w:rsidTr="009368C4">
        <w:tc>
          <w:tcPr>
            <w:tcW w:w="1696" w:type="dxa"/>
            <w:tcBorders>
              <w:right w:val="single" w:sz="4" w:space="0" w:color="auto"/>
            </w:tcBorders>
          </w:tcPr>
          <w:p w:rsidR="005F207B" w:rsidRPr="00123E93" w:rsidRDefault="005F207B" w:rsidP="009368C4">
            <w:pPr>
              <w:rPr>
                <w:rFonts w:ascii="Calibri" w:hAnsi="Calibri"/>
                <w:b/>
                <w:sz w:val="22"/>
                <w:szCs w:val="22"/>
              </w:rPr>
            </w:pPr>
            <w:r w:rsidRPr="00123E93">
              <w:rPr>
                <w:rFonts w:ascii="Calibri" w:hAnsi="Calibri"/>
                <w:b/>
                <w:sz w:val="22"/>
                <w:szCs w:val="22"/>
              </w:rPr>
              <w:t>Bewertung</w:t>
            </w:r>
          </w:p>
        </w:tc>
        <w:tc>
          <w:tcPr>
            <w:tcW w:w="1985" w:type="dxa"/>
            <w:tcBorders>
              <w:top w:val="nil"/>
              <w:left w:val="single" w:sz="4" w:space="0" w:color="auto"/>
              <w:bottom w:val="nil"/>
              <w:right w:val="single" w:sz="4" w:space="0" w:color="auto"/>
            </w:tcBorders>
          </w:tcPr>
          <w:p w:rsidR="005F207B" w:rsidRPr="00123E93" w:rsidRDefault="005F207B" w:rsidP="009368C4">
            <w:pPr>
              <w:rPr>
                <w:rFonts w:ascii="Calibri" w:hAnsi="Calibri"/>
                <w:b/>
                <w:sz w:val="22"/>
                <w:szCs w:val="22"/>
              </w:rPr>
            </w:pPr>
          </w:p>
        </w:tc>
        <w:tc>
          <w:tcPr>
            <w:tcW w:w="10598" w:type="dxa"/>
            <w:tcBorders>
              <w:left w:val="single" w:sz="4" w:space="0" w:color="auto"/>
            </w:tcBorders>
          </w:tcPr>
          <w:p w:rsidR="005F207B" w:rsidRPr="00855680" w:rsidRDefault="005F207B" w:rsidP="009368C4">
            <w:pPr>
              <w:jc w:val="both"/>
              <w:rPr>
                <w:rFonts w:ascii="Calibri" w:hAnsi="Calibri"/>
              </w:rPr>
            </w:pPr>
            <w:r w:rsidRPr="00C32D7E">
              <w:rPr>
                <w:rFonts w:ascii="Calibri" w:eastAsia="Times New Roman" w:hAnsi="Calibri" w:cs="Times New Roman"/>
                <w:color w:val="000000"/>
                <w:sz w:val="22"/>
                <w:shd w:val="clear" w:color="auto" w:fill="FFFFFF"/>
              </w:rPr>
              <w:t>Die Kommission ergriff weitere Maßnahmen und befragte Bürger*innen zur Qualität und den Preisen von Trinkwasser. Die Ergebnisse der Konsultation sollten in die Überarbeitung der Trinkwasserrichtlinie, die seit 1998 existiert, einfließen.  2015 wurde von der Kommission eine Überarbeitung der Richtlinie beschlossen, welche eine bessere europaweite Überwachung des Trinkwassers zum Ziel hatte.</w:t>
            </w:r>
          </w:p>
        </w:tc>
      </w:tr>
    </w:tbl>
    <w:p w:rsidR="005F207B" w:rsidRDefault="005F207B" w:rsidP="005F207B"/>
    <w:sectPr w:rsidR="005F207B" w:rsidSect="00053CCF">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C21" w:rsidRDefault="00AF7C21" w:rsidP="005F207B">
      <w:r>
        <w:separator/>
      </w:r>
    </w:p>
  </w:endnote>
  <w:endnote w:type="continuationSeparator" w:id="0">
    <w:p w:rsidR="00AF7C21" w:rsidRDefault="00AF7C21" w:rsidP="005F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C21" w:rsidRDefault="00AF7C21" w:rsidP="005F207B">
      <w:r>
        <w:separator/>
      </w:r>
    </w:p>
  </w:footnote>
  <w:footnote w:type="continuationSeparator" w:id="0">
    <w:p w:rsidR="00AF7C21" w:rsidRDefault="00AF7C21" w:rsidP="005F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07B" w:rsidRDefault="005F207B" w:rsidP="005F207B">
    <w:pPr>
      <w:pStyle w:val="Kopfzeile"/>
      <w:tabs>
        <w:tab w:val="clear" w:pos="4536"/>
        <w:tab w:val="clear" w:pos="9072"/>
        <w:tab w:val="left" w:pos="5745"/>
      </w:tabs>
    </w:pPr>
    <w:r>
      <w:rPr>
        <w:rFonts w:ascii="Helvetica" w:hAnsi="Helvetica" w:cs="Helvetica"/>
        <w:noProof/>
      </w:rPr>
      <w:drawing>
        <wp:anchor distT="0" distB="0" distL="114300" distR="114300" simplePos="0" relativeHeight="251661312" behindDoc="0" locked="0" layoutInCell="1" allowOverlap="1" wp14:anchorId="3F9FE62A" wp14:editId="744DBB43">
          <wp:simplePos x="0" y="0"/>
          <wp:positionH relativeFrom="column">
            <wp:posOffset>2563495</wp:posOffset>
          </wp:positionH>
          <wp:positionV relativeFrom="paragraph">
            <wp:posOffset>122421</wp:posOffset>
          </wp:positionV>
          <wp:extent cx="605155" cy="213360"/>
          <wp:effectExtent l="0" t="0" r="4445" b="254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2133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D12B4">
      <w:rPr>
        <w:noProof/>
      </w:rPr>
      <w:drawing>
        <wp:anchor distT="0" distB="0" distL="114300" distR="114300" simplePos="0" relativeHeight="251659264" behindDoc="0" locked="0" layoutInCell="1" allowOverlap="1" wp14:anchorId="6515E9A8" wp14:editId="14B1B6AA">
          <wp:simplePos x="0" y="0"/>
          <wp:positionH relativeFrom="column">
            <wp:posOffset>4551680</wp:posOffset>
          </wp:positionH>
          <wp:positionV relativeFrom="paragraph">
            <wp:posOffset>-75766</wp:posOffset>
          </wp:positionV>
          <wp:extent cx="1113155" cy="513080"/>
          <wp:effectExtent l="0" t="0" r="4445"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13155" cy="5130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7DD0">
      <w:rPr>
        <w:noProof/>
      </w:rPr>
      <w:drawing>
        <wp:anchor distT="0" distB="0" distL="114300" distR="114300" simplePos="0" relativeHeight="251660288" behindDoc="0" locked="0" layoutInCell="1" allowOverlap="1" wp14:anchorId="00B94911" wp14:editId="5F34B238">
          <wp:simplePos x="0" y="0"/>
          <wp:positionH relativeFrom="column">
            <wp:posOffset>-25668</wp:posOffset>
          </wp:positionH>
          <wp:positionV relativeFrom="paragraph">
            <wp:posOffset>-8890</wp:posOffset>
          </wp:positionV>
          <wp:extent cx="1644015" cy="448945"/>
          <wp:effectExtent l="0" t="0" r="0" b="0"/>
          <wp:wrapSquare wrapText="bothSides"/>
          <wp:docPr id="2" name="Bild 2"/>
          <wp:cNvGraphicFramePr/>
          <a:graphic xmlns:a="http://schemas.openxmlformats.org/drawingml/2006/main">
            <a:graphicData uri="http://schemas.openxmlformats.org/drawingml/2006/picture">
              <pic:pic xmlns:pic="http://schemas.openxmlformats.org/drawingml/2006/picture">
                <pic:nvPicPr>
                  <pic:cNvPr id="10" name="Bild 9"/>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015" cy="448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rsidR="005F207B" w:rsidRDefault="005F207B" w:rsidP="005F207B">
    <w:pPr>
      <w:pStyle w:val="Kopfzeile"/>
      <w:tabs>
        <w:tab w:val="clear" w:pos="4536"/>
        <w:tab w:val="clear" w:pos="9072"/>
        <w:tab w:val="left" w:pos="5331"/>
      </w:tabs>
    </w:pPr>
    <w:r>
      <w:tab/>
    </w:r>
  </w:p>
  <w:p w:rsidR="005F207B" w:rsidRDefault="005F20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D2AE2"/>
    <w:multiLevelType w:val="hybridMultilevel"/>
    <w:tmpl w:val="1EA63B0E"/>
    <w:lvl w:ilvl="0" w:tplc="D562BD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502628"/>
    <w:multiLevelType w:val="hybridMultilevel"/>
    <w:tmpl w:val="C2828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403B5F"/>
    <w:multiLevelType w:val="hybridMultilevel"/>
    <w:tmpl w:val="D4347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EA"/>
    <w:rsid w:val="005E05EA"/>
    <w:rsid w:val="005F207B"/>
    <w:rsid w:val="006071CA"/>
    <w:rsid w:val="00AF7C21"/>
    <w:rsid w:val="00BE4C5F"/>
    <w:rsid w:val="00DB3C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BE4A9"/>
  <w15:chartTrackingRefBased/>
  <w15:docId w15:val="{7BD20770-CEC6-B647-A7D6-6DBF60DB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207B"/>
    <w:pPr>
      <w:tabs>
        <w:tab w:val="center" w:pos="4536"/>
        <w:tab w:val="right" w:pos="9072"/>
      </w:tabs>
    </w:pPr>
  </w:style>
  <w:style w:type="character" w:customStyle="1" w:styleId="KopfzeileZchn">
    <w:name w:val="Kopfzeile Zchn"/>
    <w:basedOn w:val="Absatz-Standardschriftart"/>
    <w:link w:val="Kopfzeile"/>
    <w:uiPriority w:val="99"/>
    <w:rsid w:val="005F207B"/>
  </w:style>
  <w:style w:type="paragraph" w:styleId="Fuzeile">
    <w:name w:val="footer"/>
    <w:basedOn w:val="Standard"/>
    <w:link w:val="FuzeileZchn"/>
    <w:uiPriority w:val="99"/>
    <w:unhideWhenUsed/>
    <w:rsid w:val="005F207B"/>
    <w:pPr>
      <w:tabs>
        <w:tab w:val="center" w:pos="4536"/>
        <w:tab w:val="right" w:pos="9072"/>
      </w:tabs>
    </w:pPr>
  </w:style>
  <w:style w:type="character" w:customStyle="1" w:styleId="FuzeileZchn">
    <w:name w:val="Fußzeile Zchn"/>
    <w:basedOn w:val="Absatz-Standardschriftart"/>
    <w:link w:val="Fuzeile"/>
    <w:uiPriority w:val="99"/>
    <w:rsid w:val="005F207B"/>
  </w:style>
  <w:style w:type="table" w:styleId="MittlereListe1">
    <w:name w:val="Medium List 1"/>
    <w:basedOn w:val="NormaleTabelle"/>
    <w:uiPriority w:val="65"/>
    <w:rsid w:val="005F207B"/>
    <w:rPr>
      <w:rFonts w:eastAsiaTheme="minorEastAsia"/>
      <w:color w:val="000000" w:themeColor="text1"/>
      <w:lang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enabsatz">
    <w:name w:val="List Paragraph"/>
    <w:basedOn w:val="Standard"/>
    <w:uiPriority w:val="34"/>
    <w:qFormat/>
    <w:rsid w:val="005F207B"/>
    <w:pPr>
      <w:ind w:left="720"/>
      <w:contextualSpacing/>
    </w:pPr>
  </w:style>
  <w:style w:type="table" w:styleId="Tabellenraster">
    <w:name w:val="Table Grid"/>
    <w:basedOn w:val="NormaleTabelle"/>
    <w:uiPriority w:val="39"/>
    <w:rsid w:val="005F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F207B"/>
    <w:pPr>
      <w:spacing w:before="100" w:beforeAutospacing="1" w:after="100" w:afterAutospacing="1"/>
    </w:pPr>
    <w:rPr>
      <w:rFonts w:ascii="Times" w:eastAsiaTheme="minorEastAsia" w:hAnsi="Times" w:cs="Times New Roman"/>
      <w:sz w:val="20"/>
      <w:szCs w:val="20"/>
      <w:lang w:eastAsia="de-DE"/>
    </w:rPr>
  </w:style>
  <w:style w:type="character" w:customStyle="1" w:styleId="st">
    <w:name w:val="st"/>
    <w:basedOn w:val="Absatz-Standardschriftart"/>
    <w:rsid w:val="005F2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t.de/themen/energiesparlampen/"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10369</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2</cp:revision>
  <dcterms:created xsi:type="dcterms:W3CDTF">2018-07-24T08:40:00Z</dcterms:created>
  <dcterms:modified xsi:type="dcterms:W3CDTF">2018-07-24T09:01:00Z</dcterms:modified>
</cp:coreProperties>
</file>