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C855" w14:textId="58B84F70" w:rsidR="00735057" w:rsidRDefault="00735D34">
      <w:pPr>
        <w:rPr>
          <w:rFonts w:ascii="Calibri" w:hAnsi="Calibri"/>
          <w:b/>
          <w:sz w:val="28"/>
        </w:rPr>
      </w:pPr>
      <w:r w:rsidRPr="0052425D">
        <w:rPr>
          <w:rFonts w:ascii="Calibri" w:hAnsi="Calibri"/>
          <w:b/>
          <w:sz w:val="28"/>
        </w:rPr>
        <w:t>Rollenspiel</w:t>
      </w:r>
      <w:r w:rsidR="00CD395E">
        <w:rPr>
          <w:rFonts w:ascii="Calibri" w:hAnsi="Calibri"/>
          <w:b/>
          <w:sz w:val="28"/>
        </w:rPr>
        <w:t xml:space="preserve"> zum EuGH</w:t>
      </w:r>
    </w:p>
    <w:p w14:paraId="31CC663D" w14:textId="77777777" w:rsidR="00CD395E" w:rsidRDefault="00CD395E">
      <w:pPr>
        <w:rPr>
          <w:rFonts w:ascii="Calibri" w:hAnsi="Calibri"/>
          <w:b/>
          <w:sz w:val="28"/>
        </w:rPr>
      </w:pPr>
    </w:p>
    <w:p w14:paraId="097AF0E1" w14:textId="12D4285B" w:rsidR="00CD395E" w:rsidRDefault="004E4D96">
      <w:pPr>
        <w:rPr>
          <w:rFonts w:ascii="Calibri" w:hAnsi="Calibri"/>
          <w:i/>
        </w:rPr>
      </w:pPr>
      <w:r>
        <w:rPr>
          <w:rFonts w:ascii="Calibri" w:hAnsi="Calibri"/>
          <w:i/>
        </w:rPr>
        <w:t xml:space="preserve">Eine Möglichkeit, wie politische Maßnahmen beendet oder verändert werden, ist durch eine Entscheidung einer juristischen Instanz. Die höchste in Europa ist der EuGH. Mit diesem Rollenspiel können die Schüler*innen aktiv ein paar Entscheidungen </w:t>
      </w:r>
      <w:proofErr w:type="gramStart"/>
      <w:r>
        <w:rPr>
          <w:rFonts w:ascii="Calibri" w:hAnsi="Calibri"/>
          <w:i/>
        </w:rPr>
        <w:t>des EuGH</w:t>
      </w:r>
      <w:proofErr w:type="gramEnd"/>
      <w:r>
        <w:rPr>
          <w:rFonts w:ascii="Calibri" w:hAnsi="Calibri"/>
          <w:i/>
        </w:rPr>
        <w:t xml:space="preserve"> kennen lernen und nachspielen. </w:t>
      </w:r>
    </w:p>
    <w:p w14:paraId="546A733F" w14:textId="77777777" w:rsidR="004E4D96" w:rsidRDefault="004E4D96">
      <w:pPr>
        <w:rPr>
          <w:rFonts w:ascii="Calibri" w:hAnsi="Calibri"/>
          <w:i/>
        </w:rPr>
      </w:pPr>
    </w:p>
    <w:tbl>
      <w:tblPr>
        <w:tblStyle w:val="MittlereListe1"/>
        <w:tblW w:w="9039" w:type="dxa"/>
        <w:tblLook w:val="04A0" w:firstRow="1" w:lastRow="0" w:firstColumn="1" w:lastColumn="0" w:noHBand="0" w:noVBand="1"/>
      </w:tblPr>
      <w:tblGrid>
        <w:gridCol w:w="2376"/>
        <w:gridCol w:w="6663"/>
      </w:tblGrid>
      <w:tr w:rsidR="004E4D96" w14:paraId="63DE7192" w14:textId="77777777" w:rsidTr="00CA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000000" w:themeColor="text1"/>
              <w:bottom w:val="nil"/>
            </w:tcBorders>
            <w:shd w:val="clear" w:color="auto" w:fill="C0C0C0"/>
          </w:tcPr>
          <w:p w14:paraId="0193E7A9" w14:textId="77777777" w:rsidR="004E4D96" w:rsidRDefault="004E4D96" w:rsidP="00CA1909">
            <w:pPr>
              <w:rPr>
                <w:b w:val="0"/>
                <w:sz w:val="22"/>
                <w:szCs w:val="22"/>
              </w:rPr>
            </w:pPr>
            <w:r>
              <w:rPr>
                <w:sz w:val="22"/>
                <w:szCs w:val="22"/>
              </w:rPr>
              <w:t>Übungsart</w:t>
            </w:r>
          </w:p>
        </w:tc>
        <w:tc>
          <w:tcPr>
            <w:tcW w:w="6663" w:type="dxa"/>
            <w:tcBorders>
              <w:top w:val="single" w:sz="8" w:space="0" w:color="000000" w:themeColor="text1"/>
              <w:bottom w:val="nil"/>
            </w:tcBorders>
            <w:shd w:val="clear" w:color="auto" w:fill="C0C0C0"/>
          </w:tcPr>
          <w:p w14:paraId="222AED4D" w14:textId="1672D50A" w:rsidR="004E4D96" w:rsidRPr="006F199F" w:rsidRDefault="004E4D96" w:rsidP="00CA190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Rollenspiel</w:t>
            </w:r>
          </w:p>
        </w:tc>
      </w:tr>
      <w:tr w:rsidR="004E4D96" w14:paraId="6AF83B87" w14:textId="77777777" w:rsidTr="00CA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67B7E822" w14:textId="77777777" w:rsidR="004E4D96" w:rsidRDefault="004E4D96" w:rsidP="00CA1909">
            <w:pPr>
              <w:rPr>
                <w:rFonts w:asciiTheme="majorHAnsi" w:hAnsiTheme="majorHAnsi"/>
                <w:b w:val="0"/>
                <w:sz w:val="22"/>
                <w:szCs w:val="22"/>
              </w:rPr>
            </w:pPr>
            <w:r w:rsidRPr="008167FB">
              <w:rPr>
                <w:rFonts w:asciiTheme="majorHAnsi" w:hAnsiTheme="majorHAnsi"/>
                <w:sz w:val="22"/>
                <w:szCs w:val="22"/>
              </w:rPr>
              <w:t>Unterrichtsphase</w:t>
            </w:r>
          </w:p>
        </w:tc>
        <w:tc>
          <w:tcPr>
            <w:tcW w:w="6663" w:type="dxa"/>
            <w:tcBorders>
              <w:top w:val="nil"/>
              <w:bottom w:val="nil"/>
            </w:tcBorders>
            <w:shd w:val="clear" w:color="auto" w:fill="C0C0C0"/>
          </w:tcPr>
          <w:p w14:paraId="15514CB3" w14:textId="4E639887" w:rsidR="004E4D96" w:rsidRPr="006F199F" w:rsidRDefault="004E4D96" w:rsidP="00CA190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Anwendung</w:t>
            </w:r>
          </w:p>
        </w:tc>
      </w:tr>
      <w:tr w:rsidR="004E4D96" w14:paraId="11DE53D9" w14:textId="77777777" w:rsidTr="00CA1909">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50109557" w14:textId="77777777" w:rsidR="004E4D96" w:rsidRDefault="004E4D96" w:rsidP="00CA1909">
            <w:pPr>
              <w:rPr>
                <w:rFonts w:asciiTheme="majorHAnsi" w:hAnsiTheme="majorHAnsi"/>
                <w:b w:val="0"/>
                <w:sz w:val="22"/>
                <w:szCs w:val="22"/>
              </w:rPr>
            </w:pPr>
            <w:r w:rsidRPr="008167FB">
              <w:rPr>
                <w:rFonts w:asciiTheme="majorHAnsi" w:hAnsiTheme="majorHAnsi"/>
                <w:sz w:val="22"/>
                <w:szCs w:val="22"/>
              </w:rPr>
              <w:t>Sozialform</w:t>
            </w:r>
          </w:p>
        </w:tc>
        <w:tc>
          <w:tcPr>
            <w:tcW w:w="6663" w:type="dxa"/>
            <w:tcBorders>
              <w:top w:val="nil"/>
              <w:bottom w:val="nil"/>
            </w:tcBorders>
            <w:shd w:val="clear" w:color="auto" w:fill="C0C0C0"/>
          </w:tcPr>
          <w:p w14:paraId="273E08A4" w14:textId="5DDF6036" w:rsidR="004E4D96" w:rsidRPr="006F199F" w:rsidRDefault="004E4D96" w:rsidP="00CA190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Gruppenarbeit / Plenum</w:t>
            </w:r>
          </w:p>
        </w:tc>
      </w:tr>
      <w:tr w:rsidR="004E4D96" w14:paraId="082EEA70" w14:textId="77777777" w:rsidTr="00CA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19435E43" w14:textId="77777777" w:rsidR="004E4D96" w:rsidRDefault="004E4D96" w:rsidP="00CA1909">
            <w:pPr>
              <w:rPr>
                <w:rFonts w:asciiTheme="majorHAnsi" w:hAnsiTheme="majorHAnsi"/>
                <w:b w:val="0"/>
                <w:sz w:val="22"/>
                <w:szCs w:val="22"/>
              </w:rPr>
            </w:pPr>
            <w:r w:rsidRPr="008167FB">
              <w:rPr>
                <w:rFonts w:asciiTheme="majorHAnsi" w:hAnsiTheme="majorHAnsi"/>
                <w:sz w:val="22"/>
                <w:szCs w:val="22"/>
              </w:rPr>
              <w:t xml:space="preserve">Zeitaufwand </w:t>
            </w:r>
          </w:p>
        </w:tc>
        <w:tc>
          <w:tcPr>
            <w:tcW w:w="6663" w:type="dxa"/>
            <w:tcBorders>
              <w:top w:val="nil"/>
              <w:bottom w:val="nil"/>
            </w:tcBorders>
            <w:shd w:val="clear" w:color="auto" w:fill="C0C0C0"/>
          </w:tcPr>
          <w:p w14:paraId="4883ED2E" w14:textId="5C378817" w:rsidR="004E4D96" w:rsidRPr="006F199F" w:rsidRDefault="004E4D96" w:rsidP="00CA190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mittel</w:t>
            </w:r>
          </w:p>
        </w:tc>
      </w:tr>
      <w:tr w:rsidR="004E4D96" w14:paraId="1BD38C74" w14:textId="77777777" w:rsidTr="00CA1909">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0AE46D4F" w14:textId="77777777" w:rsidR="004E4D96" w:rsidRPr="008167FB" w:rsidRDefault="004E4D96" w:rsidP="00CA1909">
            <w:pPr>
              <w:rPr>
                <w:rFonts w:asciiTheme="majorHAnsi" w:hAnsiTheme="majorHAnsi"/>
                <w:b w:val="0"/>
                <w:sz w:val="22"/>
                <w:szCs w:val="22"/>
              </w:rPr>
            </w:pPr>
            <w:r w:rsidRPr="008167FB">
              <w:rPr>
                <w:rFonts w:asciiTheme="majorHAnsi" w:hAnsiTheme="majorHAnsi"/>
                <w:sz w:val="22"/>
                <w:szCs w:val="22"/>
              </w:rPr>
              <w:t>Materialaufwand</w:t>
            </w:r>
          </w:p>
        </w:tc>
        <w:tc>
          <w:tcPr>
            <w:tcW w:w="6663" w:type="dxa"/>
            <w:tcBorders>
              <w:top w:val="nil"/>
              <w:bottom w:val="nil"/>
            </w:tcBorders>
            <w:shd w:val="clear" w:color="auto" w:fill="C0C0C0"/>
          </w:tcPr>
          <w:p w14:paraId="78422006" w14:textId="596CD22A" w:rsidR="004E4D96" w:rsidRPr="006F199F" w:rsidRDefault="004E4D96" w:rsidP="00CA190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mittel</w:t>
            </w:r>
          </w:p>
        </w:tc>
      </w:tr>
      <w:tr w:rsidR="004E4D96" w14:paraId="0836CBF1" w14:textId="77777777" w:rsidTr="00CA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1DC004CD" w14:textId="77777777" w:rsidR="004E4D96" w:rsidRPr="008167FB" w:rsidRDefault="004E4D96" w:rsidP="00CA1909">
            <w:pPr>
              <w:rPr>
                <w:rFonts w:asciiTheme="majorHAnsi" w:hAnsiTheme="majorHAnsi"/>
                <w:b w:val="0"/>
                <w:sz w:val="22"/>
                <w:szCs w:val="22"/>
              </w:rPr>
            </w:pPr>
          </w:p>
        </w:tc>
        <w:tc>
          <w:tcPr>
            <w:tcW w:w="6663" w:type="dxa"/>
            <w:tcBorders>
              <w:top w:val="nil"/>
              <w:bottom w:val="nil"/>
            </w:tcBorders>
            <w:shd w:val="clear" w:color="auto" w:fill="C0C0C0"/>
          </w:tcPr>
          <w:p w14:paraId="6A84EAF6" w14:textId="77777777" w:rsidR="004E4D96" w:rsidRPr="006F199F" w:rsidRDefault="004E4D96" w:rsidP="00CA190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bl>
    <w:p w14:paraId="701CF72F" w14:textId="77777777" w:rsidR="004E4D96" w:rsidRDefault="004E4D96">
      <w:pPr>
        <w:rPr>
          <w:rFonts w:ascii="Calibri" w:hAnsi="Calibri"/>
        </w:rPr>
      </w:pPr>
    </w:p>
    <w:p w14:paraId="393A9798" w14:textId="77777777" w:rsidR="004E4D96" w:rsidRDefault="004E4D96">
      <w:pPr>
        <w:rPr>
          <w:rFonts w:ascii="Calibri" w:hAnsi="Calibri"/>
        </w:rPr>
      </w:pPr>
    </w:p>
    <w:p w14:paraId="17D68128" w14:textId="0BB82838" w:rsidR="004E4D96" w:rsidRPr="004E4D96" w:rsidRDefault="004E4D96">
      <w:pPr>
        <w:rPr>
          <w:rFonts w:ascii="Calibri" w:hAnsi="Calibri"/>
          <w:b/>
        </w:rPr>
      </w:pPr>
      <w:r w:rsidRPr="004E4D96">
        <w:rPr>
          <w:rFonts w:ascii="Calibri" w:hAnsi="Calibri"/>
          <w:b/>
        </w:rPr>
        <w:t>Praxishinweise</w:t>
      </w:r>
    </w:p>
    <w:p w14:paraId="1B259454" w14:textId="77777777" w:rsidR="004E4D96" w:rsidRDefault="004E4D96">
      <w:pPr>
        <w:rPr>
          <w:rFonts w:ascii="Calibri" w:hAnsi="Calibri"/>
        </w:rPr>
      </w:pPr>
    </w:p>
    <w:p w14:paraId="690F04DC" w14:textId="24197A85" w:rsidR="008E4C61" w:rsidRDefault="004E4D96">
      <w:pPr>
        <w:rPr>
          <w:rFonts w:ascii="Calibri" w:hAnsi="Calibri"/>
        </w:rPr>
      </w:pPr>
      <w:r>
        <w:rPr>
          <w:rFonts w:ascii="Calibri" w:hAnsi="Calibri"/>
        </w:rPr>
        <w:t xml:space="preserve">Es gibt sechs verschiedene Fälle, die hier immer gleich aufbereitet sind. </w:t>
      </w:r>
      <w:r w:rsidR="00224A91">
        <w:rPr>
          <w:rFonts w:ascii="Calibri" w:hAnsi="Calibri"/>
        </w:rPr>
        <w:t>Es wird jeweils kurz die Ausgang</w:t>
      </w:r>
      <w:r>
        <w:rPr>
          <w:rFonts w:ascii="Calibri" w:hAnsi="Calibri"/>
        </w:rPr>
        <w:t>ssituation beschrieben, dann gibt es die Karten für den*die Kläger*in, den*die Angeklagte*r und den*die Richter*in</w:t>
      </w:r>
      <w:r w:rsidR="00224A91">
        <w:rPr>
          <w:rFonts w:ascii="Calibri" w:hAnsi="Calibri"/>
        </w:rPr>
        <w:t xml:space="preserve"> sowie eine Darstellung, wie der Fall tatsächlich entschieden wurde. Die Aufgabenstellung ist jeweils, dass die Schüler*innen sich versuchen sollen in ihre Rolle hineinzuversetzen und eine Argumentation vor Gericht nachspielen sollen. Dies können sie auch in Zweier-Teams machen. Der*die Richter*in entscheidet dann, wer die besseren Argumente hat. Dies könnte auch die Klasse machen. Am Ende werden die Schüler*innen über das tatsächliche Urteil aufgeklärt. </w:t>
      </w:r>
    </w:p>
    <w:p w14:paraId="318DB304" w14:textId="77777777" w:rsidR="00224A91" w:rsidRDefault="00224A91">
      <w:pPr>
        <w:rPr>
          <w:rFonts w:ascii="Calibri" w:hAnsi="Calibri"/>
        </w:rPr>
      </w:pPr>
    </w:p>
    <w:p w14:paraId="007E0089" w14:textId="4BED27AD" w:rsidR="00224A91" w:rsidRPr="00171BFB" w:rsidRDefault="00224A91">
      <w:pPr>
        <w:rPr>
          <w:rFonts w:ascii="Calibri" w:hAnsi="Calibri"/>
          <w:b/>
        </w:rPr>
      </w:pPr>
      <w:r w:rsidRPr="00171BFB">
        <w:rPr>
          <w:rFonts w:ascii="Calibri" w:hAnsi="Calibri"/>
          <w:b/>
        </w:rPr>
        <w:t>Anlage</w:t>
      </w:r>
    </w:p>
    <w:p w14:paraId="7CE72E6E" w14:textId="03AB951E" w:rsidR="00224A91" w:rsidRDefault="00224A91">
      <w:pPr>
        <w:rPr>
          <w:rFonts w:ascii="Calibri" w:hAnsi="Calibri"/>
        </w:rPr>
      </w:pPr>
      <w:r>
        <w:rPr>
          <w:rFonts w:ascii="Calibri" w:hAnsi="Calibri"/>
        </w:rPr>
        <w:t>- Allgemeines zum EuGH</w:t>
      </w:r>
    </w:p>
    <w:p w14:paraId="35A7F0C2" w14:textId="3C7ADCF8" w:rsidR="00224A91" w:rsidRDefault="00224A91">
      <w:pPr>
        <w:rPr>
          <w:rFonts w:ascii="Calibri" w:hAnsi="Calibri"/>
        </w:rPr>
      </w:pPr>
      <w:r>
        <w:rPr>
          <w:rFonts w:ascii="Calibri" w:hAnsi="Calibri"/>
        </w:rPr>
        <w:t>- Fall: Europäische Fußballspielertransfers</w:t>
      </w:r>
    </w:p>
    <w:p w14:paraId="5C12134A" w14:textId="3AD3767A" w:rsidR="00224A91" w:rsidRDefault="00224A91">
      <w:pPr>
        <w:rPr>
          <w:rFonts w:ascii="Calibri" w:hAnsi="Calibri"/>
        </w:rPr>
      </w:pPr>
      <w:r>
        <w:rPr>
          <w:rFonts w:ascii="Calibri" w:hAnsi="Calibri"/>
        </w:rPr>
        <w:t>- Fall: Studiengebühren EU-Bürger*innen</w:t>
      </w:r>
    </w:p>
    <w:p w14:paraId="507BDCD3" w14:textId="7635D2B9" w:rsidR="00224A91" w:rsidRDefault="00224A91">
      <w:pPr>
        <w:rPr>
          <w:rFonts w:ascii="Calibri" w:hAnsi="Calibri"/>
        </w:rPr>
      </w:pPr>
      <w:r>
        <w:rPr>
          <w:rFonts w:ascii="Calibri" w:hAnsi="Calibri"/>
        </w:rPr>
        <w:t>- Fall: Gleichbehandlung Mann-Frau</w:t>
      </w:r>
    </w:p>
    <w:p w14:paraId="6904BF8F" w14:textId="55F90759" w:rsidR="00224A91" w:rsidRDefault="00224A91">
      <w:pPr>
        <w:rPr>
          <w:rFonts w:ascii="Calibri" w:hAnsi="Calibri"/>
        </w:rPr>
      </w:pPr>
      <w:r>
        <w:rPr>
          <w:rFonts w:ascii="Calibri" w:hAnsi="Calibri"/>
        </w:rPr>
        <w:t>- Fall: Diskriminierung Staatsbürgerschaft – lebenslange Ausweisung</w:t>
      </w:r>
    </w:p>
    <w:p w14:paraId="2342D52E" w14:textId="02310A57" w:rsidR="00224A91" w:rsidRDefault="00224A91">
      <w:pPr>
        <w:rPr>
          <w:rFonts w:ascii="Calibri" w:hAnsi="Calibri"/>
        </w:rPr>
      </w:pPr>
      <w:r>
        <w:rPr>
          <w:rFonts w:ascii="Calibri" w:hAnsi="Calibri"/>
        </w:rPr>
        <w:t>- Fall: Piloten – Alter</w:t>
      </w:r>
      <w:r w:rsidR="00171BFB">
        <w:rPr>
          <w:rFonts w:ascii="Calibri" w:hAnsi="Calibri"/>
        </w:rPr>
        <w:t>s</w:t>
      </w:r>
      <w:r>
        <w:rPr>
          <w:rFonts w:ascii="Calibri" w:hAnsi="Calibri"/>
        </w:rPr>
        <w:t>diskriminierung?</w:t>
      </w:r>
    </w:p>
    <w:p w14:paraId="1F990FB4" w14:textId="2E665B56" w:rsidR="00224A91" w:rsidRDefault="00224A91">
      <w:pPr>
        <w:rPr>
          <w:rFonts w:ascii="Calibri" w:hAnsi="Calibri"/>
        </w:rPr>
      </w:pPr>
      <w:r>
        <w:rPr>
          <w:rFonts w:ascii="Calibri" w:hAnsi="Calibri"/>
        </w:rPr>
        <w:t>- Fall: Biometrischer Pass – Fingerab</w:t>
      </w:r>
      <w:r w:rsidR="00171BFB">
        <w:rPr>
          <w:rFonts w:ascii="Calibri" w:hAnsi="Calibri"/>
        </w:rPr>
        <w:t>d</w:t>
      </w:r>
      <w:r>
        <w:rPr>
          <w:rFonts w:ascii="Calibri" w:hAnsi="Calibri"/>
        </w:rPr>
        <w:t xml:space="preserve">ruck als Eingriff auf </w:t>
      </w:r>
      <w:r w:rsidR="00171BFB">
        <w:rPr>
          <w:rFonts w:ascii="Calibri" w:hAnsi="Calibri"/>
        </w:rPr>
        <w:t>die Privatsphäre?</w:t>
      </w:r>
    </w:p>
    <w:p w14:paraId="72C585FC" w14:textId="77777777" w:rsidR="00224A91" w:rsidRDefault="00224A91">
      <w:pPr>
        <w:rPr>
          <w:rFonts w:ascii="Calibri" w:hAnsi="Calibri"/>
          <w:b/>
        </w:rPr>
      </w:pPr>
    </w:p>
    <w:p w14:paraId="486569B1" w14:textId="77777777" w:rsidR="00171BFB" w:rsidRDefault="00171BFB">
      <w:pPr>
        <w:rPr>
          <w:rFonts w:ascii="Calibri" w:hAnsi="Calibri"/>
          <w:b/>
        </w:rPr>
      </w:pPr>
    </w:p>
    <w:p w14:paraId="75947600" w14:textId="77777777" w:rsidR="00171BFB" w:rsidRDefault="00171BFB">
      <w:pPr>
        <w:rPr>
          <w:rFonts w:ascii="Calibri" w:hAnsi="Calibri"/>
          <w:b/>
        </w:rPr>
      </w:pPr>
    </w:p>
    <w:p w14:paraId="5B7FE1DF" w14:textId="77777777" w:rsidR="00171BFB" w:rsidRDefault="00171BFB">
      <w:pPr>
        <w:rPr>
          <w:rFonts w:ascii="Calibri" w:hAnsi="Calibri"/>
          <w:b/>
        </w:rPr>
      </w:pPr>
    </w:p>
    <w:p w14:paraId="54091C39" w14:textId="77777777" w:rsidR="00171BFB" w:rsidRDefault="00171BFB">
      <w:pPr>
        <w:rPr>
          <w:rFonts w:ascii="Calibri" w:hAnsi="Calibri"/>
          <w:b/>
        </w:rPr>
      </w:pPr>
    </w:p>
    <w:p w14:paraId="7C8CAC57" w14:textId="77777777" w:rsidR="00171BFB" w:rsidRDefault="00171BFB">
      <w:pPr>
        <w:rPr>
          <w:rFonts w:ascii="Calibri" w:hAnsi="Calibri"/>
          <w:b/>
        </w:rPr>
      </w:pPr>
    </w:p>
    <w:p w14:paraId="3BBC8C8D" w14:textId="77777777" w:rsidR="00171BFB" w:rsidRDefault="00171BFB">
      <w:pPr>
        <w:rPr>
          <w:rFonts w:ascii="Calibri" w:hAnsi="Calibri"/>
          <w:b/>
        </w:rPr>
      </w:pPr>
    </w:p>
    <w:p w14:paraId="4B68DC4E" w14:textId="77777777" w:rsidR="00171BFB" w:rsidRDefault="00171BFB">
      <w:pPr>
        <w:rPr>
          <w:rFonts w:ascii="Calibri" w:hAnsi="Calibri"/>
          <w:b/>
        </w:rPr>
      </w:pPr>
    </w:p>
    <w:p w14:paraId="10D8896F" w14:textId="77777777" w:rsidR="00171BFB" w:rsidRDefault="00171BFB">
      <w:pPr>
        <w:rPr>
          <w:rFonts w:ascii="Calibri" w:hAnsi="Calibri"/>
          <w:b/>
        </w:rPr>
      </w:pPr>
    </w:p>
    <w:p w14:paraId="5E1D2CC8" w14:textId="77777777" w:rsidR="00171BFB" w:rsidRDefault="00171BFB">
      <w:pPr>
        <w:rPr>
          <w:rFonts w:ascii="Calibri" w:hAnsi="Calibri"/>
          <w:b/>
        </w:rPr>
      </w:pPr>
    </w:p>
    <w:p w14:paraId="204BDD1C" w14:textId="77777777" w:rsidR="00171BFB" w:rsidRDefault="00171BFB">
      <w:pPr>
        <w:rPr>
          <w:rFonts w:ascii="Calibri" w:hAnsi="Calibri"/>
          <w:b/>
        </w:rPr>
      </w:pPr>
    </w:p>
    <w:p w14:paraId="196E3698" w14:textId="77777777" w:rsidR="00171BFB" w:rsidRDefault="00171BFB">
      <w:pPr>
        <w:rPr>
          <w:rFonts w:ascii="Calibri" w:hAnsi="Calibri"/>
          <w:b/>
        </w:rPr>
      </w:pPr>
    </w:p>
    <w:p w14:paraId="34311A45" w14:textId="77777777" w:rsidR="00171BFB" w:rsidRDefault="00171BFB">
      <w:pPr>
        <w:rPr>
          <w:rFonts w:ascii="Calibri" w:hAnsi="Calibri"/>
          <w:b/>
        </w:rPr>
      </w:pPr>
    </w:p>
    <w:p w14:paraId="5AC9939E" w14:textId="77777777" w:rsidR="00171BFB" w:rsidRPr="00A33EE2" w:rsidRDefault="00171BFB">
      <w:pPr>
        <w:rPr>
          <w:rFonts w:ascii="Calibri" w:hAnsi="Calibri"/>
          <w:b/>
        </w:rPr>
      </w:pPr>
    </w:p>
    <w:p w14:paraId="701A5FCB" w14:textId="573ABFE3" w:rsidR="00EC7621" w:rsidRPr="00A33EE2" w:rsidRDefault="008E4C61" w:rsidP="00EC7621">
      <w:pPr>
        <w:jc w:val="both"/>
        <w:rPr>
          <w:rFonts w:ascii="Calibri" w:hAnsi="Calibri"/>
          <w:b/>
        </w:rPr>
      </w:pPr>
      <w:r w:rsidRPr="00A33EE2">
        <w:rPr>
          <w:rFonts w:ascii="Calibri" w:hAnsi="Calibri"/>
          <w:b/>
        </w:rPr>
        <w:lastRenderedPageBreak/>
        <w:t xml:space="preserve">Allgemeines zum EuGH </w:t>
      </w:r>
    </w:p>
    <w:p w14:paraId="3C4B023A" w14:textId="4C3F453E" w:rsidR="005F0F48" w:rsidRPr="00A33EE2" w:rsidRDefault="008E4C61" w:rsidP="00EC7621">
      <w:pPr>
        <w:pStyle w:val="Listenabsatz"/>
        <w:numPr>
          <w:ilvl w:val="0"/>
          <w:numId w:val="9"/>
        </w:numPr>
        <w:ind w:left="426"/>
        <w:jc w:val="both"/>
        <w:rPr>
          <w:rFonts w:ascii="Calibri" w:hAnsi="Calibri"/>
        </w:rPr>
      </w:pPr>
      <w:r w:rsidRPr="00A33EE2">
        <w:rPr>
          <w:rFonts w:ascii="Calibri" w:hAnsi="Calibri"/>
        </w:rPr>
        <w:t>Eines der sieben europäischen Organe</w:t>
      </w:r>
      <w:r w:rsidR="00A54A7D">
        <w:rPr>
          <w:rFonts w:ascii="Calibri" w:hAnsi="Calibri"/>
        </w:rPr>
        <w:t xml:space="preserve">, </w:t>
      </w:r>
      <w:r w:rsidR="00EC7621">
        <w:rPr>
          <w:rFonts w:ascii="Calibri" w:hAnsi="Calibri"/>
        </w:rPr>
        <w:t>Sitz in Luxemburg</w:t>
      </w:r>
      <w:r w:rsidRPr="00A33EE2">
        <w:rPr>
          <w:rFonts w:ascii="Calibri" w:hAnsi="Calibri"/>
        </w:rPr>
        <w:t xml:space="preserve">: sorgt für </w:t>
      </w:r>
      <w:r w:rsidR="0052425D">
        <w:rPr>
          <w:rFonts w:ascii="Calibri" w:hAnsi="Calibri"/>
        </w:rPr>
        <w:t xml:space="preserve">eine </w:t>
      </w:r>
      <w:r w:rsidRPr="00A33EE2">
        <w:rPr>
          <w:rFonts w:ascii="Calibri" w:hAnsi="Calibri"/>
        </w:rPr>
        <w:t xml:space="preserve">einheitliche Auslegung und Anwendung der Verträge in den </w:t>
      </w:r>
      <w:r w:rsidR="00695DB3">
        <w:rPr>
          <w:rFonts w:ascii="Calibri" w:hAnsi="Calibri"/>
        </w:rPr>
        <w:t>EU-</w:t>
      </w:r>
      <w:r w:rsidRPr="00A33EE2">
        <w:rPr>
          <w:rFonts w:ascii="Calibri" w:hAnsi="Calibri"/>
        </w:rPr>
        <w:t>Mitgliedstaaten</w:t>
      </w:r>
      <w:r w:rsidR="00E92B28" w:rsidRPr="00A33EE2">
        <w:rPr>
          <w:rFonts w:ascii="Calibri" w:hAnsi="Calibri"/>
        </w:rPr>
        <w:t xml:space="preserve"> </w:t>
      </w:r>
    </w:p>
    <w:p w14:paraId="0C2A4EEC" w14:textId="4AFA6CFE" w:rsidR="008E4C61" w:rsidRPr="00A33EE2" w:rsidRDefault="008E62C6" w:rsidP="00EC7621">
      <w:pPr>
        <w:pStyle w:val="Listenabsatz"/>
        <w:numPr>
          <w:ilvl w:val="0"/>
          <w:numId w:val="9"/>
        </w:numPr>
        <w:ind w:left="426"/>
        <w:jc w:val="both"/>
        <w:rPr>
          <w:rFonts w:ascii="Calibri" w:hAnsi="Calibri"/>
        </w:rPr>
      </w:pPr>
      <w:r w:rsidRPr="00A33EE2">
        <w:rPr>
          <w:rFonts w:ascii="Calibri" w:hAnsi="Calibri"/>
          <w:u w:val="single"/>
        </w:rPr>
        <w:t>Vorabentscheidungsverfahren:</w:t>
      </w:r>
      <w:r w:rsidRPr="00A33EE2">
        <w:rPr>
          <w:rFonts w:ascii="Calibri" w:hAnsi="Calibri"/>
        </w:rPr>
        <w:t xml:space="preserve"> </w:t>
      </w:r>
      <w:r w:rsidR="0052425D">
        <w:rPr>
          <w:rFonts w:ascii="Calibri" w:hAnsi="Calibri"/>
        </w:rPr>
        <w:t>W</w:t>
      </w:r>
      <w:r w:rsidR="00E92B28" w:rsidRPr="00A33EE2">
        <w:rPr>
          <w:rFonts w:ascii="Calibri" w:hAnsi="Calibri"/>
        </w:rPr>
        <w:t>enn sich ein nationales Gericht nicht sicher ist, ob oder wie das nationale Gesetz unvereinbar bzw. vere</w:t>
      </w:r>
      <w:r w:rsidRPr="00A33EE2">
        <w:rPr>
          <w:rFonts w:ascii="Calibri" w:hAnsi="Calibri"/>
        </w:rPr>
        <w:t>inbar mit europäischem Recht ist</w:t>
      </w:r>
      <w:r w:rsidR="00E92B28" w:rsidRPr="00A33EE2">
        <w:rPr>
          <w:rFonts w:ascii="Calibri" w:hAnsi="Calibri"/>
        </w:rPr>
        <w:t xml:space="preserve">, </w:t>
      </w:r>
      <w:r w:rsidR="00085B94">
        <w:rPr>
          <w:rFonts w:ascii="Calibri" w:hAnsi="Calibri"/>
        </w:rPr>
        <w:t xml:space="preserve">kann </w:t>
      </w:r>
      <w:r w:rsidR="006E281E">
        <w:rPr>
          <w:rFonts w:ascii="Calibri" w:hAnsi="Calibri"/>
        </w:rPr>
        <w:t>es das Verfahren national aus</w:t>
      </w:r>
      <w:r w:rsidR="00085B94">
        <w:rPr>
          <w:rFonts w:ascii="Calibri" w:hAnsi="Calibri"/>
        </w:rPr>
        <w:t>setzen</w:t>
      </w:r>
      <w:r w:rsidR="006E281E">
        <w:rPr>
          <w:rFonts w:ascii="Calibri" w:hAnsi="Calibri"/>
        </w:rPr>
        <w:t xml:space="preserve">, um </w:t>
      </w:r>
      <w:r w:rsidR="00E92B28" w:rsidRPr="00A33EE2">
        <w:rPr>
          <w:rFonts w:ascii="Calibri" w:hAnsi="Calibri"/>
        </w:rPr>
        <w:t>den EuGH in einem sogenannten „Vorabentscheidungsverfahren“</w:t>
      </w:r>
      <w:r w:rsidR="006E281E">
        <w:rPr>
          <w:rFonts w:ascii="Calibri" w:hAnsi="Calibri"/>
        </w:rPr>
        <w:t xml:space="preserve"> mit klar formulierten Fragen</w:t>
      </w:r>
      <w:r w:rsidR="00B23F5F">
        <w:rPr>
          <w:rFonts w:ascii="Calibri" w:hAnsi="Calibri"/>
        </w:rPr>
        <w:t xml:space="preserve"> im Fall einer Entscheidungserheblichkeit</w:t>
      </w:r>
      <w:r w:rsidR="00E92B28" w:rsidRPr="00A33EE2">
        <w:rPr>
          <w:rFonts w:ascii="Calibri" w:hAnsi="Calibri"/>
        </w:rPr>
        <w:t xml:space="preserve"> </w:t>
      </w:r>
      <w:r w:rsidR="006E281E">
        <w:rPr>
          <w:rFonts w:ascii="Calibri" w:hAnsi="Calibri"/>
        </w:rPr>
        <w:t>in das Verfahren einzubeziehen</w:t>
      </w:r>
      <w:r w:rsidR="00B23F5F">
        <w:rPr>
          <w:rFonts w:ascii="Calibri" w:hAnsi="Calibri"/>
        </w:rPr>
        <w:t xml:space="preserve">; </w:t>
      </w:r>
      <w:r w:rsidR="00085B94">
        <w:rPr>
          <w:rFonts w:ascii="Calibri" w:hAnsi="Calibri"/>
        </w:rPr>
        <w:t>wenn es ein Gericht ist, dess</w:t>
      </w:r>
      <w:r w:rsidR="00B23F5F">
        <w:rPr>
          <w:rFonts w:ascii="Calibri" w:hAnsi="Calibri"/>
        </w:rPr>
        <w:t>en Entscheidung mit Rechtsmitteln des natio</w:t>
      </w:r>
      <w:r w:rsidR="00085B94">
        <w:rPr>
          <w:rFonts w:ascii="Calibri" w:hAnsi="Calibri"/>
        </w:rPr>
        <w:t>n</w:t>
      </w:r>
      <w:r w:rsidR="00B23F5F">
        <w:rPr>
          <w:rFonts w:ascii="Calibri" w:hAnsi="Calibri"/>
        </w:rPr>
        <w:t>a</w:t>
      </w:r>
      <w:r w:rsidR="00085B94">
        <w:rPr>
          <w:rFonts w:ascii="Calibri" w:hAnsi="Calibri"/>
        </w:rPr>
        <w:t>len Rechts nicht mehr angegriffen werden kann, muss es bei dem geringsten Zweifel die Frage dem EuGH vorlegen</w:t>
      </w:r>
    </w:p>
    <w:p w14:paraId="6B26316C" w14:textId="49D23D17" w:rsidR="008E62C6" w:rsidRDefault="008E62C6" w:rsidP="00EC7621">
      <w:pPr>
        <w:pStyle w:val="Listenabsatz"/>
        <w:numPr>
          <w:ilvl w:val="0"/>
          <w:numId w:val="10"/>
        </w:numPr>
        <w:jc w:val="both"/>
        <w:rPr>
          <w:rFonts w:ascii="Calibri" w:hAnsi="Calibri"/>
        </w:rPr>
      </w:pPr>
      <w:r w:rsidRPr="00A33EE2">
        <w:rPr>
          <w:rFonts w:ascii="Calibri" w:hAnsi="Calibri"/>
        </w:rPr>
        <w:t>die Entscheidung des EuGH</w:t>
      </w:r>
      <w:r w:rsidR="006E281E">
        <w:rPr>
          <w:rFonts w:ascii="Calibri" w:hAnsi="Calibri"/>
        </w:rPr>
        <w:t xml:space="preserve"> (=Antwort auf die Fragen) gilt verbindlich </w:t>
      </w:r>
      <w:r w:rsidRPr="00A33EE2">
        <w:rPr>
          <w:rFonts w:ascii="Calibri" w:hAnsi="Calibri"/>
        </w:rPr>
        <w:t>in allen Mitgliedstaaten</w:t>
      </w:r>
      <w:r w:rsidR="006E281E">
        <w:rPr>
          <w:rFonts w:ascii="Calibri" w:hAnsi="Calibri"/>
        </w:rPr>
        <w:t xml:space="preserve"> auch für</w:t>
      </w:r>
      <w:r w:rsidRPr="00A33EE2">
        <w:rPr>
          <w:rFonts w:ascii="Calibri" w:hAnsi="Calibri"/>
        </w:rPr>
        <w:t xml:space="preserve"> ähnliche</w:t>
      </w:r>
      <w:r w:rsidR="006E281E">
        <w:rPr>
          <w:rFonts w:ascii="Calibri" w:hAnsi="Calibri"/>
        </w:rPr>
        <w:t xml:space="preserve"> Fälle</w:t>
      </w:r>
      <w:r w:rsidRPr="00A33EE2">
        <w:rPr>
          <w:rFonts w:ascii="Calibri" w:hAnsi="Calibri"/>
        </w:rPr>
        <w:t xml:space="preserve"> und beeinflusst direkt Unvereinbarkeiten nationalen Rechts in anderen Ländern mit europäischem Recht</w:t>
      </w:r>
    </w:p>
    <w:p w14:paraId="1F758142" w14:textId="1EE2EE7C" w:rsidR="00EC7621" w:rsidRDefault="00B23F5F" w:rsidP="00EC7621">
      <w:pPr>
        <w:pStyle w:val="Listenabsatz"/>
        <w:numPr>
          <w:ilvl w:val="0"/>
          <w:numId w:val="10"/>
        </w:numPr>
        <w:jc w:val="both"/>
        <w:rPr>
          <w:rFonts w:ascii="Calibri" w:hAnsi="Calibri"/>
        </w:rPr>
      </w:pPr>
      <w:r>
        <w:rPr>
          <w:rFonts w:ascii="Calibri" w:hAnsi="Calibri"/>
        </w:rPr>
        <w:t>der häufigste</w:t>
      </w:r>
      <w:r w:rsidRPr="00A33EE2">
        <w:rPr>
          <w:rFonts w:ascii="Calibri" w:hAnsi="Calibri"/>
        </w:rPr>
        <w:t xml:space="preserve"> Fall, wie </w:t>
      </w:r>
      <w:r w:rsidR="00695DB3">
        <w:rPr>
          <w:rFonts w:ascii="Calibri" w:hAnsi="Calibri"/>
        </w:rPr>
        <w:t xml:space="preserve">der </w:t>
      </w:r>
      <w:r w:rsidRPr="00A33EE2">
        <w:rPr>
          <w:rFonts w:ascii="Calibri" w:hAnsi="Calibri"/>
        </w:rPr>
        <w:t xml:space="preserve">EuGH involviert wird </w:t>
      </w:r>
    </w:p>
    <w:p w14:paraId="41B2707E" w14:textId="79EC8203" w:rsidR="00235A05" w:rsidRPr="00EC7621" w:rsidRDefault="00235A05" w:rsidP="00EC7621">
      <w:pPr>
        <w:pStyle w:val="Listenabsatz"/>
        <w:numPr>
          <w:ilvl w:val="0"/>
          <w:numId w:val="22"/>
        </w:numPr>
        <w:jc w:val="both"/>
        <w:rPr>
          <w:rFonts w:ascii="Calibri" w:hAnsi="Calibri"/>
        </w:rPr>
      </w:pPr>
      <w:r w:rsidRPr="00EC7621">
        <w:rPr>
          <w:rFonts w:ascii="Calibri" w:hAnsi="Calibri"/>
          <w:u w:val="single"/>
        </w:rPr>
        <w:t>Vertragsverletzungsverfahren:</w:t>
      </w:r>
      <w:r w:rsidR="0052425D" w:rsidRPr="00EC7621">
        <w:rPr>
          <w:rFonts w:ascii="Calibri" w:hAnsi="Calibri"/>
        </w:rPr>
        <w:t xml:space="preserve"> A</w:t>
      </w:r>
      <w:r w:rsidRPr="00EC7621">
        <w:rPr>
          <w:rFonts w:ascii="Calibri" w:hAnsi="Calibri"/>
        </w:rPr>
        <w:t>ndere EU-Staaten oder die EU-Kommission klagen ein Land an, dass es gegen die Verträge verstößt</w:t>
      </w:r>
      <w:r w:rsidR="005F0F48" w:rsidRPr="00EC7621">
        <w:rPr>
          <w:rFonts w:ascii="Calibri" w:hAnsi="Calibri"/>
        </w:rPr>
        <w:t>; keine Klage einer natürlichen Person</w:t>
      </w:r>
      <w:r w:rsidR="006E281E" w:rsidRPr="00EC7621">
        <w:rPr>
          <w:rFonts w:ascii="Calibri" w:hAnsi="Calibri"/>
        </w:rPr>
        <w:t xml:space="preserve"> oder juristischer Personen (Verbände, Unternehmen,...)</w:t>
      </w:r>
      <w:r w:rsidR="005F0F48" w:rsidRPr="00EC7621">
        <w:rPr>
          <w:rFonts w:ascii="Calibri" w:hAnsi="Calibri"/>
        </w:rPr>
        <w:t xml:space="preserve"> möglich</w:t>
      </w:r>
    </w:p>
    <w:p w14:paraId="4957F9B6" w14:textId="03E05996" w:rsidR="00F406D8" w:rsidRPr="00A33EE2" w:rsidRDefault="00F406D8" w:rsidP="00EC7621">
      <w:pPr>
        <w:pStyle w:val="Listenabsatz"/>
        <w:numPr>
          <w:ilvl w:val="0"/>
          <w:numId w:val="9"/>
        </w:numPr>
        <w:jc w:val="both"/>
        <w:rPr>
          <w:rFonts w:ascii="Calibri" w:hAnsi="Calibri"/>
          <w:u w:val="single"/>
        </w:rPr>
      </w:pPr>
      <w:r w:rsidRPr="00A33EE2">
        <w:rPr>
          <w:rFonts w:ascii="Calibri" w:hAnsi="Calibri"/>
          <w:u w:val="single"/>
        </w:rPr>
        <w:t xml:space="preserve">Nichtigkeitsklage: </w:t>
      </w:r>
    </w:p>
    <w:p w14:paraId="3B32849A" w14:textId="5723DA74" w:rsidR="00F406D8" w:rsidRPr="00A33EE2" w:rsidRDefault="00F406D8" w:rsidP="00EC7621">
      <w:pPr>
        <w:pStyle w:val="Listenabsatz"/>
        <w:numPr>
          <w:ilvl w:val="1"/>
          <w:numId w:val="11"/>
        </w:numPr>
        <w:jc w:val="both"/>
        <w:rPr>
          <w:rFonts w:ascii="Calibri" w:hAnsi="Calibri"/>
        </w:rPr>
      </w:pPr>
      <w:r w:rsidRPr="00A33EE2">
        <w:rPr>
          <w:rFonts w:ascii="Calibri" w:hAnsi="Calibri"/>
        </w:rPr>
        <w:t>eröffnet die Möglichkeit einer objektiven richterlichen Kontrolle der Handlungen der Unionsorgane</w:t>
      </w:r>
    </w:p>
    <w:p w14:paraId="0C51420E" w14:textId="2C92A43A" w:rsidR="00235A05" w:rsidRPr="00A33EE2" w:rsidRDefault="00F406D8" w:rsidP="00EC7621">
      <w:pPr>
        <w:pStyle w:val="Listenabsatz"/>
        <w:numPr>
          <w:ilvl w:val="1"/>
          <w:numId w:val="11"/>
        </w:numPr>
        <w:jc w:val="both"/>
        <w:rPr>
          <w:rFonts w:ascii="Calibri" w:hAnsi="Calibri"/>
        </w:rPr>
      </w:pPr>
      <w:r w:rsidRPr="00A33EE2">
        <w:rPr>
          <w:rFonts w:ascii="Calibri" w:hAnsi="Calibri"/>
        </w:rPr>
        <w:t>Individuen können hier ihr Recht direkt beim EuGH einfordern, falls:</w:t>
      </w:r>
    </w:p>
    <w:p w14:paraId="0182F1AA" w14:textId="4C0619B1" w:rsidR="00E37604" w:rsidRPr="00695DB3" w:rsidRDefault="00F406D8" w:rsidP="00E37604">
      <w:pPr>
        <w:pStyle w:val="Listenabsatz"/>
        <w:numPr>
          <w:ilvl w:val="2"/>
          <w:numId w:val="6"/>
        </w:numPr>
        <w:jc w:val="both"/>
        <w:rPr>
          <w:rFonts w:ascii="Calibri" w:hAnsi="Calibri"/>
          <w:b/>
        </w:rPr>
      </w:pPr>
      <w:r w:rsidRPr="00E37604">
        <w:rPr>
          <w:rFonts w:ascii="Calibri" w:hAnsi="Calibri"/>
        </w:rPr>
        <w:t xml:space="preserve">Maßnahmen der Unionsorgane </w:t>
      </w:r>
      <w:r w:rsidR="00E37604" w:rsidRPr="00E37604">
        <w:rPr>
          <w:rFonts w:ascii="Calibri" w:hAnsi="Calibri"/>
        </w:rPr>
        <w:t xml:space="preserve">wirken sich </w:t>
      </w:r>
      <w:r w:rsidR="00E37604" w:rsidRPr="00E37604">
        <w:rPr>
          <w:rFonts w:ascii="Calibri" w:hAnsi="Calibri"/>
          <w:b/>
        </w:rPr>
        <w:t xml:space="preserve">unmittelbar </w:t>
      </w:r>
      <w:r w:rsidR="00E37604" w:rsidRPr="00E37604">
        <w:rPr>
          <w:rFonts w:ascii="Calibri" w:hAnsi="Calibri"/>
        </w:rPr>
        <w:t xml:space="preserve">(Art &amp; Auswirkung der Beeinträchtigung der Rechtsstellung des Klägers steht fest) </w:t>
      </w:r>
      <w:r w:rsidR="00E37604" w:rsidRPr="00E37604">
        <w:rPr>
          <w:rFonts w:ascii="Calibri" w:hAnsi="Calibri"/>
          <w:b/>
        </w:rPr>
        <w:t xml:space="preserve">  </w:t>
      </w:r>
      <w:r w:rsidR="00E37604" w:rsidRPr="00E37604">
        <w:rPr>
          <w:rFonts w:ascii="Calibri" w:hAnsi="Calibri"/>
        </w:rPr>
        <w:t>und</w:t>
      </w:r>
      <w:r w:rsidR="00E37604" w:rsidRPr="00E37604">
        <w:rPr>
          <w:rFonts w:ascii="Calibri" w:hAnsi="Calibri"/>
          <w:b/>
        </w:rPr>
        <w:t xml:space="preserve"> individuell</w:t>
      </w:r>
      <w:r w:rsidR="00E37604">
        <w:rPr>
          <w:rFonts w:ascii="Calibri" w:hAnsi="Calibri"/>
          <w:b/>
        </w:rPr>
        <w:t xml:space="preserve"> </w:t>
      </w:r>
      <w:r w:rsidR="00E37604">
        <w:rPr>
          <w:rFonts w:ascii="Calibri" w:hAnsi="Calibri"/>
        </w:rPr>
        <w:t>(Verhinderung einer</w:t>
      </w:r>
      <w:r w:rsidR="00E37604" w:rsidRPr="00695DB3">
        <w:rPr>
          <w:rFonts w:ascii="Calibri" w:hAnsi="Calibri"/>
        </w:rPr>
        <w:t xml:space="preserve"> „</w:t>
      </w:r>
      <w:proofErr w:type="spellStart"/>
      <w:r w:rsidR="00E37604" w:rsidRPr="00695DB3">
        <w:rPr>
          <w:rFonts w:ascii="Calibri" w:hAnsi="Calibri"/>
        </w:rPr>
        <w:t>Popularklage</w:t>
      </w:r>
      <w:proofErr w:type="spellEnd"/>
      <w:r w:rsidR="00E37604" w:rsidRPr="00695DB3">
        <w:rPr>
          <w:rFonts w:ascii="Calibri" w:hAnsi="Calibri"/>
        </w:rPr>
        <w:t>“; bspw.</w:t>
      </w:r>
      <w:r w:rsidR="00E37604">
        <w:rPr>
          <w:rFonts w:ascii="Calibri" w:hAnsi="Calibri"/>
        </w:rPr>
        <w:t xml:space="preserve"> Kläger*in</w:t>
      </w:r>
      <w:r w:rsidR="00E37604" w:rsidRPr="00695DB3">
        <w:rPr>
          <w:rFonts w:ascii="Calibri" w:hAnsi="Calibri"/>
        </w:rPr>
        <w:t xml:space="preserve"> individuell hervorzuheben aus allen Wirtschaftsteilnehmer</w:t>
      </w:r>
      <w:r w:rsidR="00E37604">
        <w:rPr>
          <w:rFonts w:ascii="Calibri" w:hAnsi="Calibri"/>
        </w:rPr>
        <w:t>*innen) negativ aus</w:t>
      </w:r>
    </w:p>
    <w:p w14:paraId="1EAC83FC" w14:textId="50D9751B" w:rsidR="00D601B1" w:rsidRPr="00E37604" w:rsidRDefault="00E37604" w:rsidP="00E37604">
      <w:pPr>
        <w:pStyle w:val="Listenabsatz"/>
        <w:numPr>
          <w:ilvl w:val="0"/>
          <w:numId w:val="12"/>
        </w:numPr>
        <w:jc w:val="both"/>
        <w:rPr>
          <w:rFonts w:ascii="Calibri" w:hAnsi="Calibri"/>
          <w:b/>
          <w:u w:val="single"/>
        </w:rPr>
      </w:pPr>
      <w:r w:rsidRPr="00E37604">
        <w:rPr>
          <w:rFonts w:ascii="Calibri" w:hAnsi="Calibri"/>
        </w:rPr>
        <w:t xml:space="preserve"> </w:t>
      </w:r>
      <w:r w:rsidR="00764589" w:rsidRPr="00E37604">
        <w:rPr>
          <w:rFonts w:ascii="Calibri" w:hAnsi="Calibri"/>
          <w:u w:val="single"/>
        </w:rPr>
        <w:t>Untätigkeitsklage:</w:t>
      </w:r>
      <w:r>
        <w:rPr>
          <w:rFonts w:ascii="Calibri" w:hAnsi="Calibri"/>
        </w:rPr>
        <w:t xml:space="preserve"> </w:t>
      </w:r>
      <w:r w:rsidR="00764589" w:rsidRPr="00E37604">
        <w:rPr>
          <w:rFonts w:ascii="Calibri" w:hAnsi="Calibri"/>
        </w:rPr>
        <w:t xml:space="preserve">Ein an </w:t>
      </w:r>
      <w:r>
        <w:rPr>
          <w:rFonts w:ascii="Calibri" w:hAnsi="Calibri"/>
        </w:rPr>
        <w:t>die Klageperson</w:t>
      </w:r>
      <w:r w:rsidR="00764589" w:rsidRPr="00E37604">
        <w:rPr>
          <w:rFonts w:ascii="Calibri" w:hAnsi="Calibri"/>
        </w:rPr>
        <w:t xml:space="preserve"> zu richtender Rechtsakt wird von einem Unionsorgan unter Verletzung der Verträge nicht umgesetzt</w:t>
      </w:r>
      <w:r w:rsidR="00942AAD" w:rsidRPr="00E37604">
        <w:rPr>
          <w:rFonts w:ascii="Calibri" w:hAnsi="Calibri"/>
        </w:rPr>
        <w:t xml:space="preserve"> </w:t>
      </w:r>
    </w:p>
    <w:p w14:paraId="2A7BB63E" w14:textId="7DE2FA75" w:rsidR="00D601B1" w:rsidRPr="00E37604" w:rsidRDefault="00942AAD" w:rsidP="00E37604">
      <w:pPr>
        <w:pStyle w:val="Listenabsatz"/>
        <w:numPr>
          <w:ilvl w:val="1"/>
          <w:numId w:val="26"/>
        </w:numPr>
        <w:jc w:val="both"/>
        <w:rPr>
          <w:rFonts w:ascii="Calibri" w:hAnsi="Calibri"/>
        </w:rPr>
      </w:pPr>
      <w:r w:rsidRPr="00E37604">
        <w:rPr>
          <w:rFonts w:ascii="Calibri" w:hAnsi="Calibri"/>
        </w:rPr>
        <w:t xml:space="preserve">durch Urteil wird nur festgehalten, </w:t>
      </w:r>
      <w:r w:rsidR="00EC7621" w:rsidRPr="00E37604">
        <w:rPr>
          <w:rFonts w:ascii="Calibri" w:hAnsi="Calibri"/>
        </w:rPr>
        <w:t>ob die</w:t>
      </w:r>
      <w:r w:rsidRPr="00E37604">
        <w:rPr>
          <w:rFonts w:ascii="Calibri" w:hAnsi="Calibri"/>
        </w:rPr>
        <w:t xml:space="preserve"> Unterlassung rechtswidrig </w:t>
      </w:r>
      <w:r w:rsidR="00EC7621" w:rsidRPr="00E37604">
        <w:rPr>
          <w:rFonts w:ascii="Calibri" w:hAnsi="Calibri"/>
        </w:rPr>
        <w:t>ist</w:t>
      </w:r>
    </w:p>
    <w:p w14:paraId="7853AD05" w14:textId="07AF5038" w:rsidR="00764589" w:rsidRPr="00E37604" w:rsidRDefault="00942AAD" w:rsidP="00E37604">
      <w:pPr>
        <w:pStyle w:val="Listenabsatz"/>
        <w:numPr>
          <w:ilvl w:val="1"/>
          <w:numId w:val="26"/>
        </w:numPr>
        <w:jc w:val="both"/>
        <w:rPr>
          <w:rFonts w:ascii="Calibri" w:hAnsi="Calibri"/>
          <w:b/>
        </w:rPr>
      </w:pPr>
      <w:r w:rsidRPr="00E37604">
        <w:rPr>
          <w:rFonts w:ascii="Calibri" w:hAnsi="Calibri"/>
        </w:rPr>
        <w:t xml:space="preserve">EuGH ist nicht befugt, eine Verpflichtung zum Erlass der erforderlichen </w:t>
      </w:r>
      <w:r w:rsidR="00EC7621" w:rsidRPr="00E37604">
        <w:rPr>
          <w:rFonts w:ascii="Calibri" w:hAnsi="Calibri"/>
        </w:rPr>
        <w:t xml:space="preserve">     </w:t>
      </w:r>
      <w:r w:rsidRPr="00E37604">
        <w:rPr>
          <w:rFonts w:ascii="Calibri" w:hAnsi="Calibri"/>
        </w:rPr>
        <w:t>Maßnahme auszusprechen</w:t>
      </w:r>
    </w:p>
    <w:p w14:paraId="5E5C3449" w14:textId="460209B2" w:rsidR="00942AAD" w:rsidRPr="00E37604" w:rsidRDefault="00E37604" w:rsidP="00E37604">
      <w:pPr>
        <w:pStyle w:val="Listenabsatz"/>
        <w:numPr>
          <w:ilvl w:val="0"/>
          <w:numId w:val="12"/>
        </w:numPr>
        <w:jc w:val="both"/>
        <w:rPr>
          <w:rFonts w:ascii="Calibri" w:hAnsi="Calibri"/>
          <w:b/>
          <w:u w:val="single"/>
        </w:rPr>
      </w:pPr>
      <w:r>
        <w:rPr>
          <w:rFonts w:ascii="Calibri" w:hAnsi="Calibri"/>
          <w:u w:val="single"/>
        </w:rPr>
        <w:t>Schadenersatzklage:</w:t>
      </w:r>
      <w:r>
        <w:rPr>
          <w:rFonts w:ascii="Calibri" w:hAnsi="Calibri"/>
        </w:rPr>
        <w:t xml:space="preserve"> </w:t>
      </w:r>
      <w:r w:rsidR="00942AAD" w:rsidRPr="00E37604">
        <w:rPr>
          <w:rFonts w:ascii="Calibri" w:hAnsi="Calibri"/>
        </w:rPr>
        <w:t>Wenn infolge eines von Bediensteten der EU begangenen Fehlers ein Schaden entstanden ist, kann</w:t>
      </w:r>
      <w:r w:rsidR="00D97A8B" w:rsidRPr="00E37604">
        <w:rPr>
          <w:rFonts w:ascii="Calibri" w:hAnsi="Calibri"/>
        </w:rPr>
        <w:t xml:space="preserve"> individuell</w:t>
      </w:r>
      <w:r w:rsidR="00942AAD" w:rsidRPr="00E37604">
        <w:rPr>
          <w:rFonts w:ascii="Calibri" w:hAnsi="Calibri"/>
        </w:rPr>
        <w:t xml:space="preserve"> Schadensersatz vom EuGH gefordert werden</w:t>
      </w:r>
    </w:p>
    <w:p w14:paraId="1D0DC908" w14:textId="61E8EC4B" w:rsidR="00EC7621" w:rsidRPr="00EC7621" w:rsidRDefault="00EC7621" w:rsidP="00EC7621">
      <w:pPr>
        <w:pStyle w:val="Listenabsatz"/>
        <w:numPr>
          <w:ilvl w:val="0"/>
          <w:numId w:val="17"/>
        </w:numPr>
        <w:rPr>
          <w:rFonts w:ascii="Calibri" w:hAnsi="Calibri"/>
        </w:rPr>
      </w:pPr>
      <w:r>
        <w:rPr>
          <w:rFonts w:ascii="Calibri" w:hAnsi="Calibri"/>
        </w:rPr>
        <w:t>Zahlen und Fakten:</w:t>
      </w:r>
    </w:p>
    <w:p w14:paraId="7471AC73" w14:textId="77777777" w:rsidR="00A54A7D" w:rsidRPr="004F4AA8" w:rsidRDefault="00A54A7D" w:rsidP="00EC7621">
      <w:pPr>
        <w:pStyle w:val="Listenabsatz"/>
        <w:numPr>
          <w:ilvl w:val="0"/>
          <w:numId w:val="23"/>
        </w:numPr>
        <w:rPr>
          <w:rFonts w:ascii="Calibri" w:hAnsi="Calibri"/>
        </w:rPr>
      </w:pPr>
      <w:r w:rsidRPr="004F4AA8">
        <w:rPr>
          <w:rFonts w:ascii="Calibri" w:hAnsi="Calibri"/>
        </w:rPr>
        <w:t xml:space="preserve">2016: </w:t>
      </w:r>
    </w:p>
    <w:p w14:paraId="003A5DF8" w14:textId="16967685" w:rsidR="008E4C61" w:rsidRPr="00A33EE2" w:rsidRDefault="008E4C61" w:rsidP="00A54A7D">
      <w:pPr>
        <w:pStyle w:val="Listenabsatz"/>
        <w:numPr>
          <w:ilvl w:val="1"/>
          <w:numId w:val="29"/>
        </w:numPr>
        <w:rPr>
          <w:rFonts w:ascii="Calibri" w:hAnsi="Calibri"/>
        </w:rPr>
      </w:pPr>
      <w:r w:rsidRPr="00A54A7D">
        <w:rPr>
          <w:rFonts w:ascii="Calibri" w:hAnsi="Calibri"/>
        </w:rPr>
        <w:t>1628</w:t>
      </w:r>
      <w:r w:rsidRPr="00A33EE2">
        <w:rPr>
          <w:rFonts w:ascii="Calibri" w:hAnsi="Calibri"/>
          <w:b/>
        </w:rPr>
        <w:t xml:space="preserve"> </w:t>
      </w:r>
      <w:r w:rsidRPr="00A33EE2">
        <w:rPr>
          <w:rFonts w:ascii="Calibri" w:hAnsi="Calibri"/>
        </w:rPr>
        <w:t xml:space="preserve">erledigte </w:t>
      </w:r>
      <w:r w:rsidR="004F4AA8">
        <w:rPr>
          <w:rFonts w:ascii="Calibri" w:hAnsi="Calibri"/>
        </w:rPr>
        <w:t>bei</w:t>
      </w:r>
      <w:r w:rsidR="00A54A7D">
        <w:rPr>
          <w:rFonts w:ascii="Calibri" w:hAnsi="Calibri"/>
        </w:rPr>
        <w:t xml:space="preserve"> 1604 neue</w:t>
      </w:r>
      <w:r w:rsidR="004F4AA8">
        <w:rPr>
          <w:rFonts w:ascii="Calibri" w:hAnsi="Calibri"/>
        </w:rPr>
        <w:t>n</w:t>
      </w:r>
      <w:r w:rsidR="00A54A7D">
        <w:rPr>
          <w:rFonts w:ascii="Calibri" w:hAnsi="Calibri"/>
        </w:rPr>
        <w:t xml:space="preserve"> („anhängig gemachte</w:t>
      </w:r>
      <w:r w:rsidR="004F4AA8">
        <w:rPr>
          <w:rFonts w:ascii="Calibri" w:hAnsi="Calibri"/>
        </w:rPr>
        <w:t>n</w:t>
      </w:r>
      <w:r w:rsidRPr="00A33EE2">
        <w:rPr>
          <w:rFonts w:ascii="Calibri" w:hAnsi="Calibri"/>
        </w:rPr>
        <w:t>“) Rechtssachen</w:t>
      </w:r>
    </w:p>
    <w:p w14:paraId="7F4FE401" w14:textId="26DF2745" w:rsidR="008E4C61" w:rsidRPr="00A33EE2" w:rsidRDefault="008E4C61" w:rsidP="00A54A7D">
      <w:pPr>
        <w:pStyle w:val="Listenabsatz"/>
        <w:numPr>
          <w:ilvl w:val="1"/>
          <w:numId w:val="29"/>
        </w:numPr>
        <w:rPr>
          <w:rFonts w:ascii="Calibri" w:hAnsi="Calibri"/>
        </w:rPr>
      </w:pPr>
      <w:r w:rsidRPr="00A33EE2">
        <w:rPr>
          <w:rFonts w:ascii="Calibri" w:hAnsi="Calibri"/>
        </w:rPr>
        <w:t>durchschnittliche Verfahrensdauer: 16,7 Monate</w:t>
      </w:r>
      <w:r w:rsidR="00D601B1" w:rsidRPr="00A33EE2">
        <w:rPr>
          <w:rFonts w:ascii="Calibri" w:hAnsi="Calibri"/>
        </w:rPr>
        <w:t xml:space="preserve"> (2016)</w:t>
      </w:r>
    </w:p>
    <w:p w14:paraId="254D95E6" w14:textId="77777777" w:rsidR="004F4AA8" w:rsidRDefault="008E4C61" w:rsidP="00A54A7D">
      <w:pPr>
        <w:pStyle w:val="Listenabsatz"/>
        <w:numPr>
          <w:ilvl w:val="0"/>
          <w:numId w:val="28"/>
        </w:numPr>
        <w:rPr>
          <w:rFonts w:ascii="Calibri" w:hAnsi="Calibri"/>
        </w:rPr>
      </w:pPr>
      <w:r w:rsidRPr="00A33EE2">
        <w:rPr>
          <w:rFonts w:ascii="Calibri" w:hAnsi="Calibri"/>
        </w:rPr>
        <w:t>75 Richter, 11 Generalanwälte, 2</w:t>
      </w:r>
      <w:r w:rsidR="00EC7621">
        <w:rPr>
          <w:rFonts w:ascii="Calibri" w:hAnsi="Calibri"/>
        </w:rPr>
        <w:t>.</w:t>
      </w:r>
      <w:r w:rsidRPr="00A33EE2">
        <w:rPr>
          <w:rFonts w:ascii="Calibri" w:hAnsi="Calibri"/>
        </w:rPr>
        <w:t>168 Beamte und sonstige Bedienstete</w:t>
      </w:r>
      <w:r w:rsidR="00E92B28" w:rsidRPr="00A33EE2">
        <w:rPr>
          <w:rFonts w:ascii="Calibri" w:hAnsi="Calibri"/>
        </w:rPr>
        <w:t xml:space="preserve"> </w:t>
      </w:r>
    </w:p>
    <w:p w14:paraId="70CEF0A8" w14:textId="2C7C5A45" w:rsidR="008E4C61" w:rsidRDefault="00E92B28" w:rsidP="004F4AA8">
      <w:pPr>
        <w:pStyle w:val="Listenabsatz"/>
        <w:ind w:left="1211"/>
        <w:rPr>
          <w:rFonts w:ascii="Calibri" w:hAnsi="Calibri"/>
        </w:rPr>
      </w:pPr>
      <w:r w:rsidRPr="00A33EE2">
        <w:rPr>
          <w:rFonts w:ascii="Calibri" w:hAnsi="Calibri"/>
        </w:rPr>
        <w:sym w:font="Wingdings" w:char="F0E0"/>
      </w:r>
      <w:r w:rsidRPr="00A33EE2">
        <w:rPr>
          <w:rFonts w:ascii="Calibri" w:hAnsi="Calibri"/>
        </w:rPr>
        <w:t xml:space="preserve"> 40% Männer, 60% Frauen</w:t>
      </w:r>
    </w:p>
    <w:p w14:paraId="7EEE9650" w14:textId="77777777" w:rsidR="00A54A7D" w:rsidRDefault="00EC7621" w:rsidP="00A54A7D">
      <w:pPr>
        <w:pStyle w:val="Listenabsatz"/>
        <w:numPr>
          <w:ilvl w:val="0"/>
          <w:numId w:val="23"/>
        </w:numPr>
        <w:rPr>
          <w:rFonts w:ascii="Calibri" w:hAnsi="Calibri"/>
        </w:rPr>
      </w:pPr>
      <w:r w:rsidRPr="00A54A7D">
        <w:rPr>
          <w:rFonts w:ascii="Calibri" w:hAnsi="Calibri"/>
        </w:rPr>
        <w:t xml:space="preserve">2017: </w:t>
      </w:r>
    </w:p>
    <w:p w14:paraId="52C3C99C" w14:textId="154886A7" w:rsidR="00EC7621" w:rsidRPr="00A54A7D" w:rsidRDefault="000E2903" w:rsidP="00A54A7D">
      <w:pPr>
        <w:pStyle w:val="Listenabsatz"/>
        <w:numPr>
          <w:ilvl w:val="0"/>
          <w:numId w:val="30"/>
        </w:numPr>
        <w:rPr>
          <w:rFonts w:ascii="Calibri" w:hAnsi="Calibri"/>
        </w:rPr>
      </w:pPr>
      <w:r w:rsidRPr="00A54A7D">
        <w:rPr>
          <w:rFonts w:ascii="Calibri" w:hAnsi="Calibri"/>
        </w:rPr>
        <w:t>13% der Direktk</w:t>
      </w:r>
      <w:r w:rsidR="00613D19" w:rsidRPr="00A54A7D">
        <w:rPr>
          <w:rFonts w:ascii="Calibri" w:hAnsi="Calibri"/>
        </w:rPr>
        <w:t>lagen</w:t>
      </w:r>
      <w:r w:rsidRPr="00A54A7D">
        <w:rPr>
          <w:rFonts w:ascii="Calibri" w:hAnsi="Calibri"/>
        </w:rPr>
        <w:t xml:space="preserve"> von Individuen</w:t>
      </w:r>
      <w:r w:rsidR="00613D19" w:rsidRPr="00A54A7D">
        <w:rPr>
          <w:rFonts w:ascii="Calibri" w:hAnsi="Calibri"/>
        </w:rPr>
        <w:t xml:space="preserve"> vor dem EuGH abgewiesen</w:t>
      </w:r>
    </w:p>
    <w:p w14:paraId="5DE0486D" w14:textId="643155C4" w:rsidR="00613D19" w:rsidRDefault="004F4AA8" w:rsidP="00A54A7D">
      <w:pPr>
        <w:pStyle w:val="Listenabsatz"/>
        <w:numPr>
          <w:ilvl w:val="0"/>
          <w:numId w:val="28"/>
        </w:numPr>
        <w:rPr>
          <w:rFonts w:ascii="Calibri" w:hAnsi="Calibri"/>
        </w:rPr>
      </w:pPr>
      <w:r>
        <w:rPr>
          <w:rFonts w:ascii="Calibri" w:hAnsi="Calibri"/>
        </w:rPr>
        <w:t>rund 760</w:t>
      </w:r>
      <w:r w:rsidR="00613D19">
        <w:rPr>
          <w:rFonts w:ascii="Calibri" w:hAnsi="Calibri"/>
        </w:rPr>
        <w:t xml:space="preserve"> Klagen von natürlichen Personen oder Unternehmen erhoben worden</w:t>
      </w:r>
    </w:p>
    <w:p w14:paraId="02F05B42" w14:textId="6F7F3A5B" w:rsidR="008E4C61" w:rsidRDefault="00613D19" w:rsidP="00A54A7D">
      <w:pPr>
        <w:pStyle w:val="Listenabsatz"/>
        <w:numPr>
          <w:ilvl w:val="0"/>
          <w:numId w:val="28"/>
        </w:numPr>
        <w:rPr>
          <w:rFonts w:ascii="Calibri" w:hAnsi="Calibri"/>
        </w:rPr>
      </w:pPr>
      <w:r w:rsidRPr="00E37604">
        <w:rPr>
          <w:rFonts w:ascii="Calibri" w:hAnsi="Calibri"/>
        </w:rPr>
        <w:t xml:space="preserve">14% der Klagen vor dem EuGH von natürlichen Personen und Unternehmen gingen positiv für den*die Kläger*in aus; 64% gingen negativ aus; 16% wurden </w:t>
      </w:r>
      <w:r w:rsidR="00E37604">
        <w:rPr>
          <w:rFonts w:ascii="Calibri" w:hAnsi="Calibri"/>
        </w:rPr>
        <w:t>zurückgenommen</w:t>
      </w:r>
      <w:r w:rsidRPr="00E37604">
        <w:rPr>
          <w:rFonts w:ascii="Calibri" w:hAnsi="Calibri"/>
        </w:rPr>
        <w:t xml:space="preserve">; 5% </w:t>
      </w:r>
      <w:r w:rsidR="00E37604">
        <w:rPr>
          <w:rFonts w:ascii="Calibri" w:hAnsi="Calibri"/>
        </w:rPr>
        <w:t>der Fälle bedurften keiner Rechtsprechung mehr</w:t>
      </w:r>
    </w:p>
    <w:p w14:paraId="109ACD7E" w14:textId="1B2B892F" w:rsidR="00CE2F33" w:rsidRPr="00A54A7D" w:rsidRDefault="00A54A7D" w:rsidP="00A54A7D">
      <w:pPr>
        <w:pStyle w:val="Listenabsatz"/>
        <w:numPr>
          <w:ilvl w:val="0"/>
          <w:numId w:val="31"/>
        </w:numPr>
        <w:rPr>
          <w:rFonts w:ascii="Calibri" w:hAnsi="Calibri"/>
        </w:rPr>
      </w:pPr>
      <w:r w:rsidRPr="00A54A7D">
        <w:rPr>
          <w:rFonts w:ascii="Calibri" w:hAnsi="Calibri"/>
        </w:rPr>
        <w:t>447 abgeschl. Vorabentscheidungsverfahren; 37 abgeschl. Direktklagen</w:t>
      </w:r>
      <w:r w:rsidR="00CE2F33" w:rsidRPr="00A54A7D">
        <w:rPr>
          <w:rFonts w:ascii="Calibri" w:hAnsi="Calibri"/>
        </w:rPr>
        <w:br w:type="page"/>
      </w:r>
    </w:p>
    <w:tbl>
      <w:tblPr>
        <w:tblStyle w:val="Tabellenraster"/>
        <w:tblW w:w="0" w:type="auto"/>
        <w:tblLook w:val="04A0" w:firstRow="1" w:lastRow="0" w:firstColumn="1" w:lastColumn="0" w:noHBand="0" w:noVBand="1"/>
      </w:tblPr>
      <w:tblGrid>
        <w:gridCol w:w="2249"/>
        <w:gridCol w:w="6957"/>
      </w:tblGrid>
      <w:tr w:rsidR="00E97234" w:rsidRPr="00A33EE2" w14:paraId="5948229F" w14:textId="77777777" w:rsidTr="00E97234">
        <w:tc>
          <w:tcPr>
            <w:tcW w:w="9206" w:type="dxa"/>
            <w:gridSpan w:val="2"/>
          </w:tcPr>
          <w:p w14:paraId="4F6B0FC0" w14:textId="2430DA6A" w:rsidR="00E97234" w:rsidRPr="00A33EE2" w:rsidRDefault="00E97234" w:rsidP="00F25257">
            <w:pPr>
              <w:jc w:val="both"/>
              <w:rPr>
                <w:rFonts w:ascii="Calibri" w:hAnsi="Calibri"/>
              </w:rPr>
            </w:pPr>
            <w:r w:rsidRPr="00A33EE2">
              <w:rPr>
                <w:rFonts w:ascii="Calibri" w:hAnsi="Calibri"/>
                <w:sz w:val="28"/>
              </w:rPr>
              <w:lastRenderedPageBreak/>
              <w:t>Europäische Fußballspielertransfers</w:t>
            </w:r>
          </w:p>
        </w:tc>
      </w:tr>
      <w:tr w:rsidR="00F17243" w:rsidRPr="00A33EE2" w14:paraId="77BC000F" w14:textId="77777777" w:rsidTr="00E97234">
        <w:tc>
          <w:tcPr>
            <w:tcW w:w="2249" w:type="dxa"/>
          </w:tcPr>
          <w:p w14:paraId="2F4B847B" w14:textId="176BB7A0" w:rsidR="00F17243" w:rsidRPr="00A33EE2" w:rsidRDefault="00F17243" w:rsidP="00F25257">
            <w:pPr>
              <w:jc w:val="both"/>
              <w:rPr>
                <w:rFonts w:ascii="Calibri" w:hAnsi="Calibri"/>
              </w:rPr>
            </w:pPr>
            <w:r w:rsidRPr="00A33EE2">
              <w:rPr>
                <w:rFonts w:ascii="Calibri" w:hAnsi="Calibri"/>
                <w:b/>
              </w:rPr>
              <w:t>Ausgangssituation</w:t>
            </w:r>
          </w:p>
        </w:tc>
        <w:tc>
          <w:tcPr>
            <w:tcW w:w="6957" w:type="dxa"/>
          </w:tcPr>
          <w:p w14:paraId="5BC58BD9" w14:textId="6B396F63" w:rsidR="00F17243" w:rsidRPr="00A33EE2" w:rsidRDefault="00F17243" w:rsidP="00F25257">
            <w:pPr>
              <w:jc w:val="both"/>
              <w:rPr>
                <w:rFonts w:ascii="Calibri" w:hAnsi="Calibri"/>
              </w:rPr>
            </w:pPr>
            <w:r w:rsidRPr="00A33EE2">
              <w:rPr>
                <w:rFonts w:ascii="Calibri" w:hAnsi="Calibri"/>
              </w:rPr>
              <w:t xml:space="preserve">Der Belgier Jean-Marc Bosman spielte beim belgischen Fußballverein FC Lüttich in der 1. Liga. Als </w:t>
            </w:r>
            <w:r w:rsidR="00D601B1" w:rsidRPr="00A33EE2">
              <w:rPr>
                <w:rFonts w:ascii="Calibri" w:hAnsi="Calibri"/>
              </w:rPr>
              <w:t xml:space="preserve">sein </w:t>
            </w:r>
            <w:r w:rsidRPr="00A33EE2">
              <w:rPr>
                <w:rFonts w:ascii="Calibri" w:hAnsi="Calibri"/>
              </w:rPr>
              <w:t>Vertrag ausl</w:t>
            </w:r>
            <w:r w:rsidR="00081F97" w:rsidRPr="00A33EE2">
              <w:rPr>
                <w:rFonts w:ascii="Calibri" w:hAnsi="Calibri"/>
              </w:rPr>
              <w:t>ief</w:t>
            </w:r>
            <w:r w:rsidRPr="00A33EE2">
              <w:rPr>
                <w:rFonts w:ascii="Calibri" w:hAnsi="Calibri"/>
              </w:rPr>
              <w:t>, möchte der Verein ihn verlängern, b</w:t>
            </w:r>
            <w:r w:rsidR="00081F97" w:rsidRPr="00A33EE2">
              <w:rPr>
                <w:rFonts w:ascii="Calibri" w:hAnsi="Calibri"/>
              </w:rPr>
              <w:t xml:space="preserve">ot </w:t>
            </w:r>
            <w:r w:rsidRPr="00A33EE2">
              <w:rPr>
                <w:rFonts w:ascii="Calibri" w:hAnsi="Calibri"/>
              </w:rPr>
              <w:t>allerdings statt umgerechnet 3500 Euro pro Monat nur noch 880 Euro. Deshalb w</w:t>
            </w:r>
            <w:r w:rsidR="00081F97" w:rsidRPr="00A33EE2">
              <w:rPr>
                <w:rFonts w:ascii="Calibri" w:hAnsi="Calibri"/>
              </w:rPr>
              <w:t>ollte</w:t>
            </w:r>
            <w:r w:rsidRPr="00A33EE2">
              <w:rPr>
                <w:rFonts w:ascii="Calibri" w:hAnsi="Calibri"/>
              </w:rPr>
              <w:t xml:space="preserve"> der Familienvater zum französischen Verein USL Dünkirchen wechseln. Plötzlich verlangt</w:t>
            </w:r>
            <w:r w:rsidR="00081F97" w:rsidRPr="00A33EE2">
              <w:rPr>
                <w:rFonts w:ascii="Calibri" w:hAnsi="Calibri"/>
              </w:rPr>
              <w:t>e</w:t>
            </w:r>
            <w:r w:rsidRPr="00A33EE2">
              <w:rPr>
                <w:rFonts w:ascii="Calibri" w:hAnsi="Calibri"/>
              </w:rPr>
              <w:t xml:space="preserve"> sein belgischer Verein eine Ablösesumme von 600.000 Euro von dem französischen Club und jedem anderen interessierten Verein. </w:t>
            </w:r>
            <w:r w:rsidR="00D601B1" w:rsidRPr="00A33EE2">
              <w:rPr>
                <w:rFonts w:ascii="Calibri" w:hAnsi="Calibri"/>
              </w:rPr>
              <w:t xml:space="preserve">Diese hohe Summe </w:t>
            </w:r>
            <w:r w:rsidR="00081F97" w:rsidRPr="00A33EE2">
              <w:rPr>
                <w:rFonts w:ascii="Calibri" w:hAnsi="Calibri"/>
              </w:rPr>
              <w:t>wollte</w:t>
            </w:r>
            <w:r w:rsidRPr="00A33EE2">
              <w:rPr>
                <w:rFonts w:ascii="Calibri" w:hAnsi="Calibri"/>
              </w:rPr>
              <w:t xml:space="preserve"> kein europäischer Verein zahlen, sodass Bosman beim FC Lüttich bleiben muss</w:t>
            </w:r>
            <w:r w:rsidR="00081F97" w:rsidRPr="00A33EE2">
              <w:rPr>
                <w:rFonts w:ascii="Calibri" w:hAnsi="Calibri"/>
              </w:rPr>
              <w:t>te</w:t>
            </w:r>
            <w:r w:rsidRPr="00A33EE2">
              <w:rPr>
                <w:rFonts w:ascii="Calibri" w:hAnsi="Calibri"/>
              </w:rPr>
              <w:t xml:space="preserve">. </w:t>
            </w:r>
          </w:p>
          <w:p w14:paraId="7F263494" w14:textId="45CF8A3E" w:rsidR="00F17243" w:rsidRPr="00A33EE2" w:rsidRDefault="00F17243" w:rsidP="00F25257">
            <w:pPr>
              <w:jc w:val="both"/>
              <w:rPr>
                <w:rFonts w:ascii="Calibri" w:hAnsi="Calibri"/>
              </w:rPr>
            </w:pPr>
            <w:r w:rsidRPr="00A33EE2">
              <w:rPr>
                <w:rFonts w:ascii="Calibri" w:hAnsi="Calibri"/>
              </w:rPr>
              <w:t>Daraufhin klagt</w:t>
            </w:r>
            <w:r w:rsidR="00081F97" w:rsidRPr="00A33EE2">
              <w:rPr>
                <w:rFonts w:ascii="Calibri" w:hAnsi="Calibri"/>
              </w:rPr>
              <w:t>e</w:t>
            </w:r>
            <w:r w:rsidRPr="00A33EE2">
              <w:rPr>
                <w:rFonts w:ascii="Calibri" w:hAnsi="Calibri"/>
              </w:rPr>
              <w:t xml:space="preserve"> Bosman</w:t>
            </w:r>
            <w:r w:rsidR="00D601B1" w:rsidRPr="00A33EE2">
              <w:rPr>
                <w:rFonts w:ascii="Calibri" w:hAnsi="Calibri"/>
              </w:rPr>
              <w:t xml:space="preserve"> vor dem belgischen Gericht</w:t>
            </w:r>
            <w:r w:rsidR="00927480" w:rsidRPr="00A33EE2">
              <w:rPr>
                <w:rFonts w:ascii="Calibri" w:hAnsi="Calibri"/>
              </w:rPr>
              <w:t>. I</w:t>
            </w:r>
            <w:r w:rsidR="00D601B1" w:rsidRPr="00A33EE2">
              <w:rPr>
                <w:rFonts w:ascii="Calibri" w:hAnsi="Calibri"/>
              </w:rPr>
              <w:t xml:space="preserve">n diesem Zusammenhang </w:t>
            </w:r>
            <w:r w:rsidR="00927480" w:rsidRPr="00A33EE2">
              <w:rPr>
                <w:rFonts w:ascii="Calibri" w:hAnsi="Calibri"/>
              </w:rPr>
              <w:t>fordert</w:t>
            </w:r>
            <w:r w:rsidR="00081F97" w:rsidRPr="00A33EE2">
              <w:rPr>
                <w:rFonts w:ascii="Calibri" w:hAnsi="Calibri"/>
              </w:rPr>
              <w:t>e</w:t>
            </w:r>
            <w:r w:rsidR="00927480" w:rsidRPr="00A33EE2">
              <w:rPr>
                <w:rFonts w:ascii="Calibri" w:hAnsi="Calibri"/>
              </w:rPr>
              <w:t xml:space="preserve"> er auch </w:t>
            </w:r>
            <w:r w:rsidR="00D601B1" w:rsidRPr="00A33EE2">
              <w:rPr>
                <w:rFonts w:ascii="Calibri" w:hAnsi="Calibri"/>
              </w:rPr>
              <w:t>die Vorlage</w:t>
            </w:r>
            <w:r w:rsidR="00927480" w:rsidRPr="00A33EE2">
              <w:rPr>
                <w:rFonts w:ascii="Calibri" w:hAnsi="Calibri"/>
              </w:rPr>
              <w:t xml:space="preserve"> bei dem EuGH zu</w:t>
            </w:r>
            <w:r w:rsidR="00D601B1" w:rsidRPr="00A33EE2">
              <w:rPr>
                <w:rFonts w:ascii="Calibri" w:hAnsi="Calibri"/>
              </w:rPr>
              <w:t xml:space="preserve"> </w:t>
            </w:r>
            <w:r w:rsidR="00927480" w:rsidRPr="00A33EE2">
              <w:rPr>
                <w:rFonts w:ascii="Calibri" w:hAnsi="Calibri"/>
              </w:rPr>
              <w:t>der</w:t>
            </w:r>
            <w:r w:rsidR="00D601B1" w:rsidRPr="00A33EE2">
              <w:rPr>
                <w:rFonts w:ascii="Calibri" w:hAnsi="Calibri"/>
              </w:rPr>
              <w:t xml:space="preserve"> Frage</w:t>
            </w:r>
            <w:r w:rsidR="00927480" w:rsidRPr="00A33EE2">
              <w:rPr>
                <w:rFonts w:ascii="Calibri" w:hAnsi="Calibri"/>
              </w:rPr>
              <w:t>, ob von Vereinen Ablösesummen für Spieler auch nach Vertragsende verlangt werden dürfen. Er selbst s</w:t>
            </w:r>
            <w:r w:rsidR="00081F97" w:rsidRPr="00A33EE2">
              <w:rPr>
                <w:rFonts w:ascii="Calibri" w:hAnsi="Calibri"/>
              </w:rPr>
              <w:t>ah</w:t>
            </w:r>
            <w:r w:rsidR="00927480" w:rsidRPr="00A33EE2">
              <w:rPr>
                <w:rFonts w:ascii="Calibri" w:hAnsi="Calibri"/>
              </w:rPr>
              <w:t xml:space="preserve"> dies als Behinderung seiner </w:t>
            </w:r>
            <w:r w:rsidR="00A33EE2">
              <w:rPr>
                <w:rFonts w:ascii="Calibri" w:hAnsi="Calibri"/>
              </w:rPr>
              <w:t>freien Berufswahl innerhalb der EU.</w:t>
            </w:r>
          </w:p>
        </w:tc>
      </w:tr>
      <w:tr w:rsidR="00F17243" w:rsidRPr="00A33EE2" w14:paraId="760F54DA" w14:textId="77777777" w:rsidTr="00E97234">
        <w:tc>
          <w:tcPr>
            <w:tcW w:w="2249" w:type="dxa"/>
          </w:tcPr>
          <w:p w14:paraId="6CDC733D" w14:textId="77777777" w:rsidR="00F17243" w:rsidRPr="00A33EE2" w:rsidRDefault="00F17243" w:rsidP="00F25257">
            <w:pPr>
              <w:jc w:val="both"/>
              <w:rPr>
                <w:rFonts w:ascii="Calibri" w:hAnsi="Calibri"/>
                <w:b/>
              </w:rPr>
            </w:pPr>
            <w:r w:rsidRPr="00A33EE2">
              <w:rPr>
                <w:rFonts w:ascii="Calibri" w:hAnsi="Calibri"/>
                <w:b/>
              </w:rPr>
              <w:t xml:space="preserve">Rollenkarte </w:t>
            </w:r>
          </w:p>
          <w:p w14:paraId="025B27AE" w14:textId="603DDE53" w:rsidR="00F17243" w:rsidRPr="00A33EE2" w:rsidRDefault="00F17243" w:rsidP="00F25257">
            <w:pPr>
              <w:jc w:val="both"/>
              <w:rPr>
                <w:rFonts w:ascii="Calibri" w:hAnsi="Calibri"/>
              </w:rPr>
            </w:pPr>
            <w:r w:rsidRPr="00A33EE2">
              <w:rPr>
                <w:rFonts w:ascii="Calibri" w:hAnsi="Calibri"/>
                <w:b/>
              </w:rPr>
              <w:t>Jean-Marc Bosman</w:t>
            </w:r>
          </w:p>
        </w:tc>
        <w:tc>
          <w:tcPr>
            <w:tcW w:w="6957" w:type="dxa"/>
          </w:tcPr>
          <w:p w14:paraId="7E0DE4CC" w14:textId="216CA10E" w:rsidR="00F17243" w:rsidRPr="00A33EE2" w:rsidRDefault="00081F97" w:rsidP="00F25257">
            <w:pPr>
              <w:jc w:val="both"/>
              <w:rPr>
                <w:rFonts w:ascii="Calibri" w:hAnsi="Calibri"/>
              </w:rPr>
            </w:pPr>
            <w:r w:rsidRPr="00A33EE2">
              <w:rPr>
                <w:rFonts w:ascii="Calibri" w:hAnsi="Calibri"/>
              </w:rPr>
              <w:t>Du bist der belgische Fußballspieler Jean-Marc Bosman. Dir wird nach Vertragsende ein Gehalt von deinem belgischen Verein geboten, das</w:t>
            </w:r>
            <w:r w:rsidR="00A33EE2">
              <w:rPr>
                <w:rFonts w:ascii="Calibri" w:hAnsi="Calibri"/>
              </w:rPr>
              <w:t xml:space="preserve"> in etwa ein Viertel von dem beträgt</w:t>
            </w:r>
            <w:r w:rsidRPr="00A33EE2">
              <w:rPr>
                <w:rFonts w:ascii="Calibri" w:hAnsi="Calibri"/>
              </w:rPr>
              <w:t>, was du vorher verdient hast. Du möchtest wechseln, hast einen interessierten französischen Verein gefunden, aber dein alter Verein fordert plötzlich eine Ablösesumme von 600.000 Euro von den Franzosen, die diese nicht zahlen möchten.</w:t>
            </w:r>
            <w:r w:rsidR="00A33EE2">
              <w:rPr>
                <w:rFonts w:ascii="Calibri" w:hAnsi="Calibri"/>
              </w:rPr>
              <w:t xml:space="preserve"> Du hast außerdem</w:t>
            </w:r>
            <w:r w:rsidRPr="00A33EE2">
              <w:rPr>
                <w:rFonts w:ascii="Calibri" w:hAnsi="Calibri"/>
              </w:rPr>
              <w:t xml:space="preserve"> eine kleine Tochter und Frau</w:t>
            </w:r>
            <w:r w:rsidR="00A33EE2">
              <w:rPr>
                <w:rFonts w:ascii="Calibri" w:hAnsi="Calibri"/>
              </w:rPr>
              <w:t xml:space="preserve">. Du </w:t>
            </w:r>
            <w:r w:rsidR="00F17243" w:rsidRPr="00A33EE2">
              <w:rPr>
                <w:rFonts w:ascii="Calibri" w:hAnsi="Calibri"/>
              </w:rPr>
              <w:t>möchte</w:t>
            </w:r>
            <w:r w:rsidRPr="00A33EE2">
              <w:rPr>
                <w:rFonts w:ascii="Calibri" w:hAnsi="Calibri"/>
              </w:rPr>
              <w:t>st</w:t>
            </w:r>
            <w:r w:rsidR="00F17243" w:rsidRPr="00A33EE2">
              <w:rPr>
                <w:rFonts w:ascii="Calibri" w:hAnsi="Calibri"/>
              </w:rPr>
              <w:t xml:space="preserve"> </w:t>
            </w:r>
            <w:r w:rsidR="00A33EE2">
              <w:rPr>
                <w:rFonts w:ascii="Calibri" w:hAnsi="Calibri"/>
              </w:rPr>
              <w:t xml:space="preserve">das </w:t>
            </w:r>
            <w:r w:rsidR="00F17243" w:rsidRPr="00A33EE2">
              <w:rPr>
                <w:rFonts w:ascii="Calibri" w:hAnsi="Calibri"/>
              </w:rPr>
              <w:t>Recht auf freie Arbeitsplatzwahl</w:t>
            </w:r>
            <w:r w:rsidRPr="00A33EE2">
              <w:rPr>
                <w:rFonts w:ascii="Calibri" w:hAnsi="Calibri"/>
              </w:rPr>
              <w:t xml:space="preserve"> nach Vertragsende</w:t>
            </w:r>
            <w:r w:rsidR="00F17243" w:rsidRPr="00A33EE2">
              <w:rPr>
                <w:rFonts w:ascii="Calibri" w:hAnsi="Calibri"/>
              </w:rPr>
              <w:t xml:space="preserve"> in Europa</w:t>
            </w:r>
            <w:r w:rsidR="00A33EE2">
              <w:rPr>
                <w:rFonts w:ascii="Calibri" w:hAnsi="Calibri"/>
              </w:rPr>
              <w:t xml:space="preserve"> und </w:t>
            </w:r>
            <w:r w:rsidR="00F17243" w:rsidRPr="00A33EE2">
              <w:rPr>
                <w:rFonts w:ascii="Calibri" w:hAnsi="Calibri"/>
              </w:rPr>
              <w:t>hält</w:t>
            </w:r>
            <w:r w:rsidR="00A33EE2">
              <w:rPr>
                <w:rFonts w:ascii="Calibri" w:hAnsi="Calibri"/>
              </w:rPr>
              <w:t>st</w:t>
            </w:r>
            <w:r w:rsidR="00F17243" w:rsidRPr="00A33EE2">
              <w:rPr>
                <w:rFonts w:ascii="Calibri" w:hAnsi="Calibri"/>
              </w:rPr>
              <w:t xml:space="preserve"> </w:t>
            </w:r>
            <w:r w:rsidR="00A33EE2">
              <w:rPr>
                <w:rFonts w:ascii="Calibri" w:hAnsi="Calibri"/>
              </w:rPr>
              <w:t xml:space="preserve">die </w:t>
            </w:r>
            <w:r w:rsidR="00F17243" w:rsidRPr="00A33EE2">
              <w:rPr>
                <w:rFonts w:ascii="Calibri" w:hAnsi="Calibri"/>
              </w:rPr>
              <w:t>Ablösesumme für übertrieben und un</w:t>
            </w:r>
            <w:r w:rsidRPr="00A33EE2">
              <w:rPr>
                <w:rFonts w:ascii="Calibri" w:hAnsi="Calibri"/>
              </w:rPr>
              <w:t>angebracht</w:t>
            </w:r>
            <w:r w:rsidR="00A33EE2">
              <w:rPr>
                <w:rFonts w:ascii="Calibri" w:hAnsi="Calibri"/>
              </w:rPr>
              <w:t>.</w:t>
            </w:r>
          </w:p>
        </w:tc>
      </w:tr>
      <w:tr w:rsidR="00F17243" w:rsidRPr="00A33EE2" w14:paraId="6C9E021C" w14:textId="77777777" w:rsidTr="00E97234">
        <w:tc>
          <w:tcPr>
            <w:tcW w:w="2249" w:type="dxa"/>
          </w:tcPr>
          <w:p w14:paraId="453731F2" w14:textId="01DB1FAD" w:rsidR="00F17243" w:rsidRPr="00A33EE2" w:rsidRDefault="00F17243" w:rsidP="00F25257">
            <w:pPr>
              <w:jc w:val="both"/>
              <w:rPr>
                <w:rFonts w:ascii="Calibri" w:hAnsi="Calibri"/>
              </w:rPr>
            </w:pPr>
            <w:r w:rsidRPr="00A33EE2">
              <w:rPr>
                <w:rFonts w:ascii="Calibri" w:hAnsi="Calibri"/>
                <w:b/>
              </w:rPr>
              <w:t xml:space="preserve">Rollenkarte </w:t>
            </w:r>
            <w:r w:rsidR="00081F97" w:rsidRPr="00A33EE2">
              <w:rPr>
                <w:rFonts w:ascii="Calibri" w:hAnsi="Calibri"/>
                <w:b/>
              </w:rPr>
              <w:t xml:space="preserve">Frau/Herr Diallo </w:t>
            </w:r>
            <w:r w:rsidRPr="00A33EE2">
              <w:rPr>
                <w:rFonts w:ascii="Calibri" w:hAnsi="Calibri"/>
                <w:b/>
              </w:rPr>
              <w:t>des belgischen Clubs</w:t>
            </w:r>
          </w:p>
        </w:tc>
        <w:tc>
          <w:tcPr>
            <w:tcW w:w="6957" w:type="dxa"/>
          </w:tcPr>
          <w:p w14:paraId="7183E967" w14:textId="0B283E77" w:rsidR="00F17243" w:rsidRPr="00A33EE2" w:rsidRDefault="00081F97" w:rsidP="00F25257">
            <w:pPr>
              <w:jc w:val="both"/>
              <w:rPr>
                <w:rFonts w:ascii="Calibri" w:hAnsi="Calibri"/>
              </w:rPr>
            </w:pPr>
            <w:r w:rsidRPr="00A33EE2">
              <w:rPr>
                <w:rFonts w:ascii="Calibri" w:hAnsi="Calibri"/>
              </w:rPr>
              <w:t xml:space="preserve">Du bist Frau/Herr Diallo vom FC Lüttich. Du bist der Meinung, dass </w:t>
            </w:r>
            <w:r w:rsidR="00F17243" w:rsidRPr="00A33EE2">
              <w:rPr>
                <w:rFonts w:ascii="Calibri" w:hAnsi="Calibri"/>
              </w:rPr>
              <w:t>Bosman die letzten Jahre</w:t>
            </w:r>
            <w:r w:rsidRPr="00A33EE2">
              <w:rPr>
                <w:rFonts w:ascii="Calibri" w:hAnsi="Calibri"/>
              </w:rPr>
              <w:t xml:space="preserve"> zwar</w:t>
            </w:r>
            <w:r w:rsidR="00F17243" w:rsidRPr="00A33EE2">
              <w:rPr>
                <w:rFonts w:ascii="Calibri" w:hAnsi="Calibri"/>
              </w:rPr>
              <w:t xml:space="preserve"> nicht gut gespielt</w:t>
            </w:r>
            <w:r w:rsidRPr="00A33EE2">
              <w:rPr>
                <w:rFonts w:ascii="Calibri" w:hAnsi="Calibri"/>
              </w:rPr>
              <w:t xml:space="preserve"> hat</w:t>
            </w:r>
            <w:r w:rsidR="00F17243" w:rsidRPr="00A33EE2">
              <w:rPr>
                <w:rFonts w:ascii="Calibri" w:hAnsi="Calibri"/>
              </w:rPr>
              <w:t xml:space="preserve">, aber </w:t>
            </w:r>
            <w:r w:rsidRPr="00A33EE2">
              <w:rPr>
                <w:rFonts w:ascii="Calibri" w:hAnsi="Calibri"/>
              </w:rPr>
              <w:t xml:space="preserve">er </w:t>
            </w:r>
            <w:r w:rsidR="00F17243" w:rsidRPr="00A33EE2">
              <w:rPr>
                <w:rFonts w:ascii="Calibri" w:hAnsi="Calibri"/>
              </w:rPr>
              <w:t>si</w:t>
            </w:r>
            <w:r w:rsidRPr="00A33EE2">
              <w:rPr>
                <w:rFonts w:ascii="Calibri" w:hAnsi="Calibri"/>
              </w:rPr>
              <w:t xml:space="preserve">ch positiv auf das Team auswirkt. Außerdem bekommen </w:t>
            </w:r>
            <w:r w:rsidR="00F17243" w:rsidRPr="00A33EE2">
              <w:rPr>
                <w:rFonts w:ascii="Calibri" w:hAnsi="Calibri"/>
              </w:rPr>
              <w:t>Fußballspieler immer einen befristeten Arbeitsvertrag</w:t>
            </w:r>
            <w:r w:rsidR="009B7ACE" w:rsidRPr="00A33EE2">
              <w:rPr>
                <w:rFonts w:ascii="Calibri" w:hAnsi="Calibri"/>
              </w:rPr>
              <w:t>, da die Gesundheit der Spieler nicht für immer gleich ist (Alter, Verletzungen) -</w:t>
            </w:r>
            <w:r w:rsidR="00F17243" w:rsidRPr="00A33EE2">
              <w:rPr>
                <w:rFonts w:ascii="Calibri" w:hAnsi="Calibri"/>
              </w:rPr>
              <w:t xml:space="preserve"> wenn nun keine Ablösesumme mehr von anderen Vereinen bei Vertragsende verlangt werden kann, sehen </w:t>
            </w:r>
            <w:r w:rsidR="009B7ACE" w:rsidRPr="00A33EE2">
              <w:rPr>
                <w:rFonts w:ascii="Calibri" w:hAnsi="Calibri"/>
              </w:rPr>
              <w:t>sie sich</w:t>
            </w:r>
            <w:r w:rsidR="00F17243" w:rsidRPr="00A33EE2">
              <w:rPr>
                <w:rFonts w:ascii="Calibri" w:hAnsi="Calibri"/>
              </w:rPr>
              <w:t xml:space="preserve"> gezwungen</w:t>
            </w:r>
            <w:r w:rsidR="009B7ACE" w:rsidRPr="00A33EE2">
              <w:rPr>
                <w:rFonts w:ascii="Calibri" w:hAnsi="Calibri"/>
              </w:rPr>
              <w:t xml:space="preserve">, </w:t>
            </w:r>
            <w:r w:rsidR="00F17243" w:rsidRPr="00A33EE2">
              <w:rPr>
                <w:rFonts w:ascii="Calibri" w:hAnsi="Calibri"/>
              </w:rPr>
              <w:t>die Gehälter ihrer Spieler be</w:t>
            </w:r>
            <w:r w:rsidR="006A01D3">
              <w:rPr>
                <w:rFonts w:ascii="Calibri" w:hAnsi="Calibri"/>
              </w:rPr>
              <w:t xml:space="preserve">i Vertragsende </w:t>
            </w:r>
            <w:r w:rsidR="00F17243" w:rsidRPr="00A33EE2">
              <w:rPr>
                <w:rFonts w:ascii="Calibri" w:hAnsi="Calibri"/>
              </w:rPr>
              <w:t>erhöhen zu müssen, um nicht fürchten zu müssen, dass diese sonst gehen</w:t>
            </w:r>
            <w:r w:rsidR="009B7ACE" w:rsidRPr="00A33EE2">
              <w:rPr>
                <w:rFonts w:ascii="Calibri" w:hAnsi="Calibri"/>
              </w:rPr>
              <w:t>. Das f</w:t>
            </w:r>
            <w:r w:rsidR="00F17243" w:rsidRPr="00A33EE2">
              <w:rPr>
                <w:rFonts w:ascii="Calibri" w:hAnsi="Calibri"/>
              </w:rPr>
              <w:t>ührt zu explodierenden Gehältern in Europa, zu hohe</w:t>
            </w:r>
            <w:r w:rsidR="00E97234" w:rsidRPr="00A33EE2">
              <w:rPr>
                <w:rFonts w:ascii="Calibri" w:hAnsi="Calibri"/>
              </w:rPr>
              <w:t>r</w:t>
            </w:r>
            <w:r w:rsidR="00F17243" w:rsidRPr="00A33EE2">
              <w:rPr>
                <w:rFonts w:ascii="Calibri" w:hAnsi="Calibri"/>
              </w:rPr>
              <w:t xml:space="preserve"> Macht der Spieler und </w:t>
            </w:r>
            <w:r w:rsidR="009B7ACE" w:rsidRPr="00A33EE2">
              <w:rPr>
                <w:rFonts w:ascii="Calibri" w:hAnsi="Calibri"/>
              </w:rPr>
              <w:t xml:space="preserve">vor allem passt das </w:t>
            </w:r>
            <w:r w:rsidR="00F17243" w:rsidRPr="00A33EE2">
              <w:rPr>
                <w:rFonts w:ascii="Calibri" w:hAnsi="Calibri"/>
              </w:rPr>
              <w:t>Gehalt vielleicht nicht mehr zum Können der Spieler</w:t>
            </w:r>
            <w:r w:rsidR="009B7ACE" w:rsidRPr="00A33EE2">
              <w:rPr>
                <w:rFonts w:ascii="Calibri" w:hAnsi="Calibri"/>
              </w:rPr>
              <w:t>.</w:t>
            </w:r>
          </w:p>
        </w:tc>
      </w:tr>
      <w:tr w:rsidR="00F17243" w:rsidRPr="00A33EE2" w14:paraId="39CE587E" w14:textId="77777777" w:rsidTr="00E97234">
        <w:tc>
          <w:tcPr>
            <w:tcW w:w="2249" w:type="dxa"/>
          </w:tcPr>
          <w:p w14:paraId="04C3E962" w14:textId="4E5D7BD2" w:rsidR="00F17243" w:rsidRPr="00A33EE2" w:rsidRDefault="00F17243" w:rsidP="00F25257">
            <w:pPr>
              <w:jc w:val="both"/>
              <w:rPr>
                <w:rFonts w:ascii="Calibri" w:hAnsi="Calibri"/>
              </w:rPr>
            </w:pPr>
            <w:r w:rsidRPr="00A33EE2">
              <w:rPr>
                <w:rFonts w:ascii="Calibri" w:hAnsi="Calibri"/>
                <w:b/>
              </w:rPr>
              <w:t xml:space="preserve">Rollenkarte </w:t>
            </w:r>
            <w:r w:rsidR="009B7ACE" w:rsidRPr="00A33EE2">
              <w:rPr>
                <w:rFonts w:ascii="Calibri" w:hAnsi="Calibri"/>
                <w:b/>
              </w:rPr>
              <w:t>der Richter*in Sakuth des Gerichtshof</w:t>
            </w:r>
          </w:p>
        </w:tc>
        <w:tc>
          <w:tcPr>
            <w:tcW w:w="6957" w:type="dxa"/>
          </w:tcPr>
          <w:p w14:paraId="6ADCF5CB" w14:textId="3B9F8F59" w:rsidR="00F17243" w:rsidRPr="00A33EE2" w:rsidRDefault="00F17243" w:rsidP="00F25257">
            <w:pPr>
              <w:jc w:val="both"/>
              <w:rPr>
                <w:rFonts w:ascii="Calibri" w:hAnsi="Calibri"/>
              </w:rPr>
            </w:pPr>
            <w:r w:rsidRPr="00A33EE2">
              <w:rPr>
                <w:rFonts w:ascii="Calibri" w:hAnsi="Calibri"/>
              </w:rPr>
              <w:t>Du</w:t>
            </w:r>
            <w:r w:rsidR="009B7ACE" w:rsidRPr="00A33EE2">
              <w:rPr>
                <w:rFonts w:ascii="Calibri" w:hAnsi="Calibri"/>
              </w:rPr>
              <w:t xml:space="preserve"> bist </w:t>
            </w:r>
            <w:r w:rsidR="006A01D3">
              <w:rPr>
                <w:rFonts w:ascii="Calibri" w:hAnsi="Calibri"/>
              </w:rPr>
              <w:t>Frau/Herr</w:t>
            </w:r>
            <w:r w:rsidR="009B7ACE" w:rsidRPr="00A33EE2">
              <w:rPr>
                <w:rFonts w:ascii="Calibri" w:hAnsi="Calibri"/>
              </w:rPr>
              <w:t xml:space="preserve"> Sakuth und arbeitest als Richter</w:t>
            </w:r>
            <w:r w:rsidR="008615D0">
              <w:rPr>
                <w:rFonts w:ascii="Calibri" w:hAnsi="Calibri"/>
              </w:rPr>
              <w:t>*</w:t>
            </w:r>
            <w:r w:rsidR="009B7ACE" w:rsidRPr="00A33EE2">
              <w:rPr>
                <w:rFonts w:ascii="Calibri" w:hAnsi="Calibri"/>
              </w:rPr>
              <w:t>in am Europäischen Gerichtshof. Du</w:t>
            </w:r>
            <w:r w:rsidRPr="00A33EE2">
              <w:rPr>
                <w:rFonts w:ascii="Calibri" w:hAnsi="Calibri"/>
              </w:rPr>
              <w:t xml:space="preserve"> hörst dir beide Positionen an. Fälle eine Entscheidung!</w:t>
            </w:r>
          </w:p>
        </w:tc>
      </w:tr>
      <w:tr w:rsidR="00F17243" w:rsidRPr="00A33EE2" w14:paraId="44C780C6" w14:textId="77777777" w:rsidTr="00E97234">
        <w:tc>
          <w:tcPr>
            <w:tcW w:w="2249" w:type="dxa"/>
          </w:tcPr>
          <w:p w14:paraId="3C25BB68" w14:textId="6B57E9F8" w:rsidR="00F17243" w:rsidRPr="00A33EE2" w:rsidRDefault="00F17243" w:rsidP="00F25257">
            <w:pPr>
              <w:jc w:val="both"/>
              <w:rPr>
                <w:rFonts w:ascii="Calibri" w:hAnsi="Calibri"/>
              </w:rPr>
            </w:pPr>
            <w:r w:rsidRPr="00A33EE2">
              <w:rPr>
                <w:rFonts w:ascii="Calibri" w:hAnsi="Calibri"/>
                <w:b/>
              </w:rPr>
              <w:t>EuGH-Entscheidung in der Realität</w:t>
            </w:r>
          </w:p>
        </w:tc>
        <w:tc>
          <w:tcPr>
            <w:tcW w:w="6957" w:type="dxa"/>
          </w:tcPr>
          <w:p w14:paraId="0E935243" w14:textId="1F3F79EB" w:rsidR="00F17243" w:rsidRPr="00A33EE2" w:rsidRDefault="009B7ACE" w:rsidP="00F25257">
            <w:pPr>
              <w:jc w:val="both"/>
              <w:rPr>
                <w:rFonts w:ascii="Calibri" w:hAnsi="Calibri"/>
              </w:rPr>
            </w:pPr>
            <w:r w:rsidRPr="00A33EE2">
              <w:rPr>
                <w:rFonts w:ascii="Calibri" w:hAnsi="Calibri"/>
              </w:rPr>
              <w:t xml:space="preserve">1995 </w:t>
            </w:r>
            <w:r w:rsidR="00972903" w:rsidRPr="00A33EE2">
              <w:rPr>
                <w:rFonts w:ascii="Calibri" w:hAnsi="Calibri"/>
              </w:rPr>
              <w:t xml:space="preserve">gibt </w:t>
            </w:r>
            <w:r w:rsidR="00F17243" w:rsidRPr="00A33EE2">
              <w:rPr>
                <w:rFonts w:ascii="Calibri" w:hAnsi="Calibri"/>
              </w:rPr>
              <w:t>der EuGH</w:t>
            </w:r>
            <w:r w:rsidR="00972903" w:rsidRPr="00A33EE2">
              <w:rPr>
                <w:rFonts w:ascii="Calibri" w:hAnsi="Calibri"/>
              </w:rPr>
              <w:t xml:space="preserve"> Herr Bosman recht</w:t>
            </w:r>
            <w:r w:rsidR="00F17243" w:rsidRPr="00A33EE2">
              <w:rPr>
                <w:rFonts w:ascii="Calibri" w:hAnsi="Calibri"/>
              </w:rPr>
              <w:t xml:space="preserve">, dass innerhalb der EU keine Ablösesumme </w:t>
            </w:r>
            <w:r w:rsidRPr="00A33EE2">
              <w:rPr>
                <w:rFonts w:ascii="Calibri" w:hAnsi="Calibri"/>
              </w:rPr>
              <w:t xml:space="preserve">nach Vertragsende </w:t>
            </w:r>
            <w:r w:rsidR="00F17243" w:rsidRPr="00A33EE2">
              <w:rPr>
                <w:rFonts w:ascii="Calibri" w:hAnsi="Calibri"/>
              </w:rPr>
              <w:t xml:space="preserve">verlangt werden darf, da dies die </w:t>
            </w:r>
            <w:r w:rsidRPr="00A33EE2">
              <w:rPr>
                <w:rFonts w:ascii="Calibri" w:hAnsi="Calibri"/>
              </w:rPr>
              <w:t xml:space="preserve">freie Wahl </w:t>
            </w:r>
            <w:proofErr w:type="gramStart"/>
            <w:r w:rsidRPr="00A33EE2">
              <w:rPr>
                <w:rFonts w:ascii="Calibri" w:hAnsi="Calibri"/>
              </w:rPr>
              <w:t>des Arbeitsplatz</w:t>
            </w:r>
            <w:proofErr w:type="gramEnd"/>
            <w:r w:rsidRPr="00A33EE2">
              <w:rPr>
                <w:rFonts w:ascii="Calibri" w:hAnsi="Calibri"/>
              </w:rPr>
              <w:t xml:space="preserve"> innerhalb der EU </w:t>
            </w:r>
            <w:r w:rsidR="00972903" w:rsidRPr="00A33EE2">
              <w:rPr>
                <w:rFonts w:ascii="Calibri" w:hAnsi="Calibri"/>
              </w:rPr>
              <w:t xml:space="preserve">(„Arbeitnehmerfreizügigkeit) </w:t>
            </w:r>
            <w:proofErr w:type="spellStart"/>
            <w:r w:rsidR="00A33EE2" w:rsidRPr="00A33EE2">
              <w:rPr>
                <w:rFonts w:ascii="Calibri" w:hAnsi="Calibri"/>
              </w:rPr>
              <w:t>ungerechtfertigterweise</w:t>
            </w:r>
            <w:proofErr w:type="spellEnd"/>
            <w:r w:rsidR="00A33EE2" w:rsidRPr="00A33EE2">
              <w:rPr>
                <w:rFonts w:ascii="Calibri" w:hAnsi="Calibri"/>
              </w:rPr>
              <w:t xml:space="preserve"> </w:t>
            </w:r>
            <w:r w:rsidR="00F17243" w:rsidRPr="00A33EE2">
              <w:rPr>
                <w:rFonts w:ascii="Calibri" w:hAnsi="Calibri"/>
              </w:rPr>
              <w:t>einschränken würde. Das heißt, dass Profi-Fußballer nach Vertragsende</w:t>
            </w:r>
            <w:r w:rsidR="00A33EE2" w:rsidRPr="00A33EE2">
              <w:rPr>
                <w:rFonts w:ascii="Calibri" w:hAnsi="Calibri"/>
              </w:rPr>
              <w:t xml:space="preserve"> ohne Ablösesummen zu einem beliebigen Club in der EU wechseln können,</w:t>
            </w:r>
            <w:r w:rsidR="00F17243" w:rsidRPr="00A33EE2">
              <w:rPr>
                <w:rFonts w:ascii="Calibri" w:hAnsi="Calibri"/>
              </w:rPr>
              <w:t xml:space="preserve"> was wiederum den Wettbewerb um die besten Spieler angekurbelt hat und insgesamt zu höheren Löhnen führte.</w:t>
            </w:r>
          </w:p>
        </w:tc>
      </w:tr>
    </w:tbl>
    <w:p w14:paraId="1DCA1FDC" w14:textId="77777777" w:rsidR="00735D34" w:rsidRPr="00A33EE2" w:rsidRDefault="00735D34" w:rsidP="00F25257">
      <w:pPr>
        <w:jc w:val="both"/>
        <w:rPr>
          <w:rFonts w:ascii="Calibri" w:hAnsi="Calibri"/>
        </w:rPr>
      </w:pPr>
    </w:p>
    <w:tbl>
      <w:tblPr>
        <w:tblStyle w:val="Tabellenraster"/>
        <w:tblW w:w="0" w:type="auto"/>
        <w:tblLook w:val="04A0" w:firstRow="1" w:lastRow="0" w:firstColumn="1" w:lastColumn="0" w:noHBand="0" w:noVBand="1"/>
      </w:tblPr>
      <w:tblGrid>
        <w:gridCol w:w="2249"/>
        <w:gridCol w:w="6957"/>
      </w:tblGrid>
      <w:tr w:rsidR="00E97234" w:rsidRPr="00A33EE2" w14:paraId="1DCE971D" w14:textId="77777777" w:rsidTr="00E97234">
        <w:tc>
          <w:tcPr>
            <w:tcW w:w="9206" w:type="dxa"/>
            <w:gridSpan w:val="2"/>
          </w:tcPr>
          <w:p w14:paraId="1948ED91" w14:textId="1BAFDD8A" w:rsidR="00E97234" w:rsidRPr="00A33EE2" w:rsidRDefault="00E97234" w:rsidP="00F25257">
            <w:pPr>
              <w:jc w:val="both"/>
              <w:rPr>
                <w:rFonts w:ascii="Calibri" w:hAnsi="Calibri"/>
              </w:rPr>
            </w:pPr>
            <w:r w:rsidRPr="00A33EE2">
              <w:rPr>
                <w:rFonts w:ascii="Calibri" w:hAnsi="Calibri"/>
                <w:sz w:val="28"/>
              </w:rPr>
              <w:t>Studiengebühren EU-Bürger*innen</w:t>
            </w:r>
          </w:p>
        </w:tc>
      </w:tr>
      <w:tr w:rsidR="00E97234" w:rsidRPr="00A33EE2" w14:paraId="32848823" w14:textId="77777777" w:rsidTr="00E97234">
        <w:tc>
          <w:tcPr>
            <w:tcW w:w="2249" w:type="dxa"/>
          </w:tcPr>
          <w:p w14:paraId="1987F94C" w14:textId="77777777" w:rsidR="00E97234" w:rsidRPr="00A33EE2" w:rsidRDefault="00E97234" w:rsidP="00F25257">
            <w:pPr>
              <w:jc w:val="both"/>
              <w:rPr>
                <w:rFonts w:ascii="Calibri" w:hAnsi="Calibri"/>
              </w:rPr>
            </w:pPr>
            <w:r w:rsidRPr="00A33EE2">
              <w:rPr>
                <w:rFonts w:ascii="Calibri" w:hAnsi="Calibri"/>
                <w:b/>
              </w:rPr>
              <w:t>Ausgangssituation</w:t>
            </w:r>
          </w:p>
        </w:tc>
        <w:tc>
          <w:tcPr>
            <w:tcW w:w="6957" w:type="dxa"/>
          </w:tcPr>
          <w:p w14:paraId="3C70128D" w14:textId="2B276EB3" w:rsidR="00E97234" w:rsidRPr="00A33EE2" w:rsidRDefault="00E97234" w:rsidP="00F25257">
            <w:pPr>
              <w:jc w:val="both"/>
              <w:rPr>
                <w:rFonts w:ascii="Calibri" w:hAnsi="Calibri"/>
              </w:rPr>
            </w:pPr>
            <w:r w:rsidRPr="00A33EE2">
              <w:rPr>
                <w:rFonts w:ascii="Calibri" w:hAnsi="Calibri"/>
              </w:rPr>
              <w:t xml:space="preserve">Die französische Studentin Francoise </w:t>
            </w:r>
            <w:proofErr w:type="spellStart"/>
            <w:r w:rsidRPr="00A33EE2">
              <w:rPr>
                <w:rFonts w:ascii="Calibri" w:hAnsi="Calibri"/>
              </w:rPr>
              <w:t>Gravier</w:t>
            </w:r>
            <w:proofErr w:type="spellEnd"/>
            <w:r w:rsidRPr="00A33EE2">
              <w:rPr>
                <w:rFonts w:ascii="Calibri" w:hAnsi="Calibri"/>
              </w:rPr>
              <w:t xml:space="preserve"> bekam einen Brief, dass sie ab diesem Semester für ihr Kunststudium an der belgischen Universität „</w:t>
            </w:r>
            <w:proofErr w:type="spellStart"/>
            <w:r w:rsidRPr="00A33EE2">
              <w:rPr>
                <w:rFonts w:ascii="Calibri" w:hAnsi="Calibri"/>
              </w:rPr>
              <w:t>Académie</w:t>
            </w:r>
            <w:proofErr w:type="spellEnd"/>
            <w:r w:rsidRPr="00A33EE2">
              <w:rPr>
                <w:rFonts w:ascii="Calibri" w:hAnsi="Calibri"/>
              </w:rPr>
              <w:t xml:space="preserve"> Royale des Beaux-Arts“ in Lüttich Studiengebühren zah</w:t>
            </w:r>
            <w:r w:rsidR="004441F8">
              <w:rPr>
                <w:rFonts w:ascii="Calibri" w:hAnsi="Calibri"/>
              </w:rPr>
              <w:t>len müsse</w:t>
            </w:r>
            <w:r w:rsidRPr="00A33EE2">
              <w:rPr>
                <w:rFonts w:ascii="Calibri" w:hAnsi="Calibri"/>
              </w:rPr>
              <w:t>. Sie fragt</w:t>
            </w:r>
            <w:r w:rsidR="004441F8">
              <w:rPr>
                <w:rFonts w:ascii="Calibri" w:hAnsi="Calibri"/>
              </w:rPr>
              <w:t>e</w:t>
            </w:r>
            <w:r w:rsidRPr="00A33EE2">
              <w:rPr>
                <w:rFonts w:ascii="Calibri" w:hAnsi="Calibri"/>
              </w:rPr>
              <w:t xml:space="preserve"> ihre belgischen Studienkolleg*innen und stellt</w:t>
            </w:r>
            <w:r w:rsidR="004441F8">
              <w:rPr>
                <w:rFonts w:ascii="Calibri" w:hAnsi="Calibri"/>
              </w:rPr>
              <w:t>e</w:t>
            </w:r>
            <w:r w:rsidRPr="00A33EE2">
              <w:rPr>
                <w:rFonts w:ascii="Calibri" w:hAnsi="Calibri"/>
              </w:rPr>
              <w:t xml:space="preserve"> fest, dass sie</w:t>
            </w:r>
            <w:r w:rsidR="004441F8">
              <w:rPr>
                <w:rFonts w:ascii="Calibri" w:hAnsi="Calibri"/>
              </w:rPr>
              <w:t xml:space="preserve"> diesen Brief nicht bekommen hatt</w:t>
            </w:r>
            <w:r w:rsidRPr="00A33EE2">
              <w:rPr>
                <w:rFonts w:ascii="Calibri" w:hAnsi="Calibri"/>
              </w:rPr>
              <w:t>en. Außerdem erf</w:t>
            </w:r>
            <w:r w:rsidR="004441F8">
              <w:rPr>
                <w:rFonts w:ascii="Calibri" w:hAnsi="Calibri"/>
              </w:rPr>
              <w:t xml:space="preserve">uhr </w:t>
            </w:r>
            <w:r w:rsidRPr="00A33EE2">
              <w:rPr>
                <w:rFonts w:ascii="Calibri" w:hAnsi="Calibri"/>
              </w:rPr>
              <w:t>sie, dass ein Gesetz des belgischen Unterrichtsministers dazu geführt hat</w:t>
            </w:r>
            <w:r w:rsidR="004441F8">
              <w:rPr>
                <w:rFonts w:ascii="Calibri" w:hAnsi="Calibri"/>
              </w:rPr>
              <w:t>te</w:t>
            </w:r>
            <w:r w:rsidRPr="00A33EE2">
              <w:rPr>
                <w:rFonts w:ascii="Calibri" w:hAnsi="Calibri"/>
              </w:rPr>
              <w:t xml:space="preserve">, dass sie nun Geld zahlen muss, was Belgier*innen nicht zahlen müssen. Sie </w:t>
            </w:r>
            <w:r w:rsidR="004441F8">
              <w:rPr>
                <w:rFonts w:ascii="Calibri" w:hAnsi="Calibri"/>
              </w:rPr>
              <w:t>r</w:t>
            </w:r>
            <w:r w:rsidR="00C60A52">
              <w:rPr>
                <w:rFonts w:ascii="Calibri" w:hAnsi="Calibri"/>
              </w:rPr>
              <w:t xml:space="preserve">ief </w:t>
            </w:r>
            <w:r w:rsidR="004441F8">
              <w:rPr>
                <w:rFonts w:ascii="Calibri" w:hAnsi="Calibri"/>
              </w:rPr>
              <w:t xml:space="preserve">den Präsidenten des Tribunal de </w:t>
            </w:r>
            <w:proofErr w:type="spellStart"/>
            <w:r w:rsidR="004441F8">
              <w:rPr>
                <w:rFonts w:ascii="Calibri" w:hAnsi="Calibri"/>
              </w:rPr>
              <w:t>première</w:t>
            </w:r>
            <w:proofErr w:type="spellEnd"/>
            <w:r w:rsidR="004441F8">
              <w:rPr>
                <w:rFonts w:ascii="Calibri" w:hAnsi="Calibri"/>
              </w:rPr>
              <w:t xml:space="preserve"> </w:t>
            </w:r>
            <w:proofErr w:type="spellStart"/>
            <w:r w:rsidR="004441F8">
              <w:rPr>
                <w:rFonts w:ascii="Calibri" w:hAnsi="Calibri"/>
              </w:rPr>
              <w:t>instance</w:t>
            </w:r>
            <w:proofErr w:type="spellEnd"/>
            <w:r w:rsidR="004441F8">
              <w:rPr>
                <w:rFonts w:ascii="Calibri" w:hAnsi="Calibri"/>
              </w:rPr>
              <w:t xml:space="preserve"> Lüttich (=Gericht) an und beklagt</w:t>
            </w:r>
            <w:r w:rsidR="00C60A52">
              <w:rPr>
                <w:rFonts w:ascii="Calibri" w:hAnsi="Calibri"/>
              </w:rPr>
              <w:t>e</w:t>
            </w:r>
            <w:r w:rsidR="004441F8">
              <w:rPr>
                <w:rFonts w:ascii="Calibri" w:hAnsi="Calibri"/>
              </w:rPr>
              <w:t xml:space="preserve"> die Unvereinbarkeit der ausländerspezifischen Studiengebühren mit dem EU-Recht. Das belgische Gericht s</w:t>
            </w:r>
            <w:r w:rsidR="00C60A52">
              <w:rPr>
                <w:rFonts w:ascii="Calibri" w:hAnsi="Calibri"/>
              </w:rPr>
              <w:t>ah</w:t>
            </w:r>
            <w:r w:rsidR="004441F8">
              <w:rPr>
                <w:rFonts w:ascii="Calibri" w:hAnsi="Calibri"/>
              </w:rPr>
              <w:t xml:space="preserve"> die Problematik und gelangt zur Auffassung, dass der Rechtsstreit Fragen der Auslegung des Gemeinschaftsrechts aufwirft,</w:t>
            </w:r>
            <w:r w:rsidRPr="00A33EE2">
              <w:rPr>
                <w:rFonts w:ascii="Calibri" w:hAnsi="Calibri"/>
              </w:rPr>
              <w:t xml:space="preserve"> sodass </w:t>
            </w:r>
            <w:r w:rsidR="00C60A52">
              <w:rPr>
                <w:rFonts w:ascii="Calibri" w:hAnsi="Calibri"/>
              </w:rPr>
              <w:t>es</w:t>
            </w:r>
            <w:r w:rsidR="004441F8">
              <w:rPr>
                <w:rFonts w:ascii="Calibri" w:hAnsi="Calibri"/>
              </w:rPr>
              <w:t xml:space="preserve"> dem EuGH die Frage zur Vorabentscheidung vorlegt</w:t>
            </w:r>
            <w:r w:rsidR="00C60A52">
              <w:rPr>
                <w:rFonts w:ascii="Calibri" w:hAnsi="Calibri"/>
              </w:rPr>
              <w:t>e</w:t>
            </w:r>
            <w:r w:rsidR="004441F8">
              <w:rPr>
                <w:rFonts w:ascii="Calibri" w:hAnsi="Calibri"/>
              </w:rPr>
              <w:t>, ob die Studiengebühren für Auslän</w:t>
            </w:r>
            <w:r w:rsidR="00C60A52">
              <w:rPr>
                <w:rFonts w:ascii="Calibri" w:hAnsi="Calibri"/>
              </w:rPr>
              <w:t>der*innen gegen EU-Recht verstoßen.</w:t>
            </w:r>
          </w:p>
        </w:tc>
      </w:tr>
      <w:tr w:rsidR="00E97234" w:rsidRPr="00A33EE2" w14:paraId="69D0DEE3" w14:textId="77777777" w:rsidTr="00E97234">
        <w:tc>
          <w:tcPr>
            <w:tcW w:w="2249" w:type="dxa"/>
          </w:tcPr>
          <w:p w14:paraId="2167632F" w14:textId="77777777" w:rsidR="00E97234" w:rsidRPr="00A33EE2" w:rsidRDefault="00E97234" w:rsidP="00F25257">
            <w:pPr>
              <w:jc w:val="both"/>
              <w:rPr>
                <w:rFonts w:ascii="Calibri" w:hAnsi="Calibri"/>
                <w:b/>
              </w:rPr>
            </w:pPr>
            <w:r w:rsidRPr="00A33EE2">
              <w:rPr>
                <w:rFonts w:ascii="Calibri" w:hAnsi="Calibri"/>
                <w:b/>
              </w:rPr>
              <w:t xml:space="preserve">Rollenkarte </w:t>
            </w:r>
          </w:p>
          <w:p w14:paraId="1654CBF5" w14:textId="1DB88BD5" w:rsidR="00E97234" w:rsidRPr="00A33EE2" w:rsidRDefault="00E97234" w:rsidP="00F25257">
            <w:pPr>
              <w:jc w:val="both"/>
              <w:rPr>
                <w:rFonts w:ascii="Calibri" w:hAnsi="Calibri"/>
              </w:rPr>
            </w:pPr>
            <w:r w:rsidRPr="00A33EE2">
              <w:rPr>
                <w:rFonts w:ascii="Calibri" w:hAnsi="Calibri"/>
                <w:b/>
              </w:rPr>
              <w:t xml:space="preserve">Francoise </w:t>
            </w:r>
            <w:proofErr w:type="spellStart"/>
            <w:r w:rsidRPr="00A33EE2">
              <w:rPr>
                <w:rFonts w:ascii="Calibri" w:hAnsi="Calibri"/>
                <w:b/>
              </w:rPr>
              <w:t>Gravier</w:t>
            </w:r>
            <w:proofErr w:type="spellEnd"/>
          </w:p>
        </w:tc>
        <w:tc>
          <w:tcPr>
            <w:tcW w:w="6957" w:type="dxa"/>
          </w:tcPr>
          <w:p w14:paraId="4E212D3A" w14:textId="346FEC64" w:rsidR="00E97234" w:rsidRPr="00A33EE2" w:rsidRDefault="00C60A52" w:rsidP="00F25257">
            <w:pPr>
              <w:jc w:val="both"/>
              <w:rPr>
                <w:rFonts w:ascii="Calibri" w:hAnsi="Calibri"/>
              </w:rPr>
            </w:pPr>
            <w:r>
              <w:rPr>
                <w:rFonts w:ascii="Calibri" w:hAnsi="Calibri"/>
              </w:rPr>
              <w:t xml:space="preserve">Du bist die </w:t>
            </w:r>
            <w:r w:rsidR="00E97234" w:rsidRPr="00A33EE2">
              <w:rPr>
                <w:rFonts w:ascii="Calibri" w:hAnsi="Calibri"/>
              </w:rPr>
              <w:t>französische Studentin</w:t>
            </w:r>
            <w:r>
              <w:rPr>
                <w:rFonts w:ascii="Calibri" w:hAnsi="Calibri"/>
              </w:rPr>
              <w:t xml:space="preserve"> Francoise </w:t>
            </w:r>
            <w:proofErr w:type="spellStart"/>
            <w:r>
              <w:rPr>
                <w:rFonts w:ascii="Calibri" w:hAnsi="Calibri"/>
              </w:rPr>
              <w:t>Gravier</w:t>
            </w:r>
            <w:proofErr w:type="spellEnd"/>
            <w:r w:rsidR="00E97234" w:rsidRPr="00A33EE2">
              <w:rPr>
                <w:rFonts w:ascii="Calibri" w:hAnsi="Calibri"/>
              </w:rPr>
              <w:t xml:space="preserve"> an einer belgisch</w:t>
            </w:r>
            <w:r>
              <w:rPr>
                <w:rFonts w:ascii="Calibri" w:hAnsi="Calibri"/>
              </w:rPr>
              <w:t>en, staatlichen Kunsthochschule. Du</w:t>
            </w:r>
            <w:r w:rsidR="00E97234" w:rsidRPr="00A33EE2">
              <w:rPr>
                <w:rFonts w:ascii="Calibri" w:hAnsi="Calibri"/>
              </w:rPr>
              <w:t xml:space="preserve"> kann</w:t>
            </w:r>
            <w:r>
              <w:rPr>
                <w:rFonts w:ascii="Calibri" w:hAnsi="Calibri"/>
              </w:rPr>
              <w:t>st</w:t>
            </w:r>
            <w:r w:rsidR="00E97234" w:rsidRPr="00A33EE2">
              <w:rPr>
                <w:rFonts w:ascii="Calibri" w:hAnsi="Calibri"/>
              </w:rPr>
              <w:t xml:space="preserve"> </w:t>
            </w:r>
            <w:r>
              <w:rPr>
                <w:rFonts w:ascii="Calibri" w:hAnsi="Calibri"/>
              </w:rPr>
              <w:t>dir</w:t>
            </w:r>
            <w:r w:rsidR="00E97234" w:rsidRPr="00A33EE2">
              <w:rPr>
                <w:rFonts w:ascii="Calibri" w:hAnsi="Calibri"/>
              </w:rPr>
              <w:t xml:space="preserve"> keine Studiengebühren leisten</w:t>
            </w:r>
            <w:r>
              <w:rPr>
                <w:rFonts w:ascii="Calibri" w:hAnsi="Calibri"/>
              </w:rPr>
              <w:t xml:space="preserve"> und findest, dass keine Diskriminierung aufgrund der Staatsbürgerschaft innerhalb der EU stattfinden darf – entweder alle zahlen gleich viel, oder keiner zahlt irgendwas. Wozu gibt’s sonst die Unionsbürgerschaft neben der nationalen Staatsbürgerschaft? Nur so herrschen gleiche Bedingungen für alle in der EU und die freie </w:t>
            </w:r>
            <w:r w:rsidR="00E97234" w:rsidRPr="00A33EE2">
              <w:rPr>
                <w:rFonts w:ascii="Calibri" w:hAnsi="Calibri"/>
              </w:rPr>
              <w:t>Studienplatzwahl in</w:t>
            </w:r>
            <w:r>
              <w:rPr>
                <w:rFonts w:ascii="Calibri" w:hAnsi="Calibri"/>
              </w:rPr>
              <w:t xml:space="preserve"> der EU ist gewährleistet. </w:t>
            </w:r>
          </w:p>
        </w:tc>
      </w:tr>
      <w:tr w:rsidR="00E97234" w:rsidRPr="00A33EE2" w14:paraId="0161B992" w14:textId="77777777" w:rsidTr="00E97234">
        <w:tc>
          <w:tcPr>
            <w:tcW w:w="2249" w:type="dxa"/>
          </w:tcPr>
          <w:p w14:paraId="0D039BFC" w14:textId="44CC90AB" w:rsidR="00E97234" w:rsidRPr="00A33EE2" w:rsidRDefault="00E97234" w:rsidP="00F25257">
            <w:pPr>
              <w:jc w:val="both"/>
              <w:rPr>
                <w:rFonts w:ascii="Calibri" w:hAnsi="Calibri"/>
              </w:rPr>
            </w:pPr>
            <w:r w:rsidRPr="00A33EE2">
              <w:rPr>
                <w:rFonts w:ascii="Calibri" w:hAnsi="Calibri"/>
                <w:b/>
              </w:rPr>
              <w:t>Rollenkarte belgischer Unterrichtsminister</w:t>
            </w:r>
            <w:r w:rsidR="00C60A52">
              <w:rPr>
                <w:rFonts w:ascii="Calibri" w:hAnsi="Calibri"/>
                <w:b/>
              </w:rPr>
              <w:t xml:space="preserve"> Bruno </w:t>
            </w:r>
            <w:proofErr w:type="spellStart"/>
            <w:r w:rsidR="00C60A52">
              <w:rPr>
                <w:rFonts w:ascii="Calibri" w:hAnsi="Calibri"/>
                <w:b/>
              </w:rPr>
              <w:t>Fagnoul</w:t>
            </w:r>
            <w:proofErr w:type="spellEnd"/>
          </w:p>
        </w:tc>
        <w:tc>
          <w:tcPr>
            <w:tcW w:w="6957" w:type="dxa"/>
          </w:tcPr>
          <w:p w14:paraId="5E83CD24" w14:textId="7310FE2E" w:rsidR="00E97234" w:rsidRPr="00A33EE2" w:rsidRDefault="00C60A52" w:rsidP="00F25257">
            <w:pPr>
              <w:jc w:val="both"/>
              <w:rPr>
                <w:rFonts w:ascii="Calibri" w:hAnsi="Calibri"/>
              </w:rPr>
            </w:pPr>
            <w:r>
              <w:rPr>
                <w:rFonts w:ascii="Calibri" w:hAnsi="Calibri"/>
              </w:rPr>
              <w:t xml:space="preserve">Du bist der belgische Unterrichtsminister Bruno </w:t>
            </w:r>
            <w:proofErr w:type="spellStart"/>
            <w:r>
              <w:rPr>
                <w:rFonts w:ascii="Calibri" w:hAnsi="Calibri"/>
              </w:rPr>
              <w:t>Fagnoul</w:t>
            </w:r>
            <w:proofErr w:type="spellEnd"/>
            <w:r>
              <w:rPr>
                <w:rFonts w:ascii="Calibri" w:hAnsi="Calibri"/>
              </w:rPr>
              <w:t xml:space="preserve">. Du weißt, dass </w:t>
            </w:r>
            <w:r w:rsidR="00E97234" w:rsidRPr="00A33EE2">
              <w:rPr>
                <w:rFonts w:ascii="Calibri" w:hAnsi="Calibri"/>
              </w:rPr>
              <w:t>die staatlich getragene Kunstakademie unterfinanziert</w:t>
            </w:r>
            <w:r>
              <w:rPr>
                <w:rFonts w:ascii="Calibri" w:hAnsi="Calibri"/>
              </w:rPr>
              <w:t xml:space="preserve"> ist. Außerdem bist du dir darüber im Klaren, dass du aufgrund eines nationalen Gesetzes eine Studiengebühr </w:t>
            </w:r>
            <w:r w:rsidR="008615D0">
              <w:rPr>
                <w:rFonts w:ascii="Calibri" w:hAnsi="Calibri"/>
              </w:rPr>
              <w:t>von ausländischen Schüler*innen und Studierenden erheben darfst.</w:t>
            </w:r>
            <w:r>
              <w:rPr>
                <w:rFonts w:ascii="Calibri" w:hAnsi="Calibri"/>
              </w:rPr>
              <w:t xml:space="preserve"> </w:t>
            </w:r>
            <w:r w:rsidR="008615D0">
              <w:rPr>
                <w:rFonts w:ascii="Calibri" w:hAnsi="Calibri"/>
              </w:rPr>
              <w:t xml:space="preserve">Es ist dir wichtig, dass Belgier*innen freien Zugang zu Bildung haben, aber wer </w:t>
            </w:r>
            <w:r w:rsidR="00E97234" w:rsidRPr="00A33EE2">
              <w:rPr>
                <w:rFonts w:ascii="Calibri" w:hAnsi="Calibri"/>
              </w:rPr>
              <w:t>aus dem Ausland kommt, profitiert schließlich von der Bildung</w:t>
            </w:r>
            <w:r w:rsidR="008615D0">
              <w:rPr>
                <w:rFonts w:ascii="Calibri" w:hAnsi="Calibri"/>
              </w:rPr>
              <w:t>, ohne dass die Eltern hierfür Steuern</w:t>
            </w:r>
            <w:r w:rsidR="00E97234" w:rsidRPr="00A33EE2">
              <w:rPr>
                <w:rFonts w:ascii="Calibri" w:hAnsi="Calibri"/>
              </w:rPr>
              <w:t xml:space="preserve"> in Belgien</w:t>
            </w:r>
            <w:r w:rsidR="008615D0">
              <w:rPr>
                <w:rFonts w:ascii="Calibri" w:hAnsi="Calibri"/>
              </w:rPr>
              <w:t xml:space="preserve"> gezahlt haben. Dementsprechend</w:t>
            </w:r>
            <w:r w:rsidR="00E97234" w:rsidRPr="00A33EE2">
              <w:rPr>
                <w:rFonts w:ascii="Calibri" w:hAnsi="Calibri"/>
              </w:rPr>
              <w:t xml:space="preserve"> </w:t>
            </w:r>
            <w:r w:rsidR="008615D0">
              <w:rPr>
                <w:rFonts w:ascii="Calibri" w:hAnsi="Calibri"/>
              </w:rPr>
              <w:t>müssen die ausländischen Studierenden für ihre Bildungsmöglichkeit in Belgien</w:t>
            </w:r>
            <w:r w:rsidR="00E97234" w:rsidRPr="00A33EE2">
              <w:rPr>
                <w:rFonts w:ascii="Calibri" w:hAnsi="Calibri"/>
              </w:rPr>
              <w:t xml:space="preserve"> was zahlen</w:t>
            </w:r>
            <w:r w:rsidR="008615D0">
              <w:rPr>
                <w:rFonts w:ascii="Calibri" w:hAnsi="Calibri"/>
              </w:rPr>
              <w:t xml:space="preserve">. </w:t>
            </w:r>
          </w:p>
        </w:tc>
      </w:tr>
      <w:tr w:rsidR="00E97234" w:rsidRPr="00A33EE2" w14:paraId="18055B28" w14:textId="77777777" w:rsidTr="00E97234">
        <w:tc>
          <w:tcPr>
            <w:tcW w:w="2249" w:type="dxa"/>
          </w:tcPr>
          <w:p w14:paraId="1D18C133" w14:textId="166A0D27" w:rsidR="00E97234" w:rsidRPr="00A33EE2" w:rsidRDefault="00E97234" w:rsidP="00F25257">
            <w:pPr>
              <w:jc w:val="both"/>
              <w:rPr>
                <w:rFonts w:ascii="Calibri" w:hAnsi="Calibri"/>
              </w:rPr>
            </w:pPr>
            <w:r w:rsidRPr="00A33EE2">
              <w:rPr>
                <w:rFonts w:ascii="Calibri" w:hAnsi="Calibri"/>
                <w:b/>
              </w:rPr>
              <w:t>Rollenkarte Richter*in</w:t>
            </w:r>
            <w:r w:rsidR="008615D0">
              <w:rPr>
                <w:rFonts w:ascii="Calibri" w:hAnsi="Calibri"/>
                <w:b/>
              </w:rPr>
              <w:t xml:space="preserve"> García</w:t>
            </w:r>
          </w:p>
        </w:tc>
        <w:tc>
          <w:tcPr>
            <w:tcW w:w="6957" w:type="dxa"/>
          </w:tcPr>
          <w:p w14:paraId="59B88CFB" w14:textId="1B05767E" w:rsidR="00E97234" w:rsidRPr="00A33EE2" w:rsidRDefault="008615D0" w:rsidP="00F25257">
            <w:pPr>
              <w:jc w:val="both"/>
              <w:rPr>
                <w:rFonts w:ascii="Calibri" w:hAnsi="Calibri"/>
              </w:rPr>
            </w:pPr>
            <w:r w:rsidRPr="00A33EE2">
              <w:rPr>
                <w:rFonts w:ascii="Calibri" w:hAnsi="Calibri"/>
              </w:rPr>
              <w:t xml:space="preserve">Du bist </w:t>
            </w:r>
            <w:r>
              <w:rPr>
                <w:rFonts w:ascii="Calibri" w:hAnsi="Calibri"/>
              </w:rPr>
              <w:t>Frau/Herr</w:t>
            </w:r>
            <w:r w:rsidRPr="00A33EE2">
              <w:rPr>
                <w:rFonts w:ascii="Calibri" w:hAnsi="Calibri"/>
              </w:rPr>
              <w:t xml:space="preserve"> </w:t>
            </w:r>
            <w:r>
              <w:rPr>
                <w:rFonts w:ascii="Calibri" w:hAnsi="Calibri"/>
              </w:rPr>
              <w:t>García</w:t>
            </w:r>
            <w:r w:rsidRPr="00A33EE2">
              <w:rPr>
                <w:rFonts w:ascii="Calibri" w:hAnsi="Calibri"/>
              </w:rPr>
              <w:t xml:space="preserve"> und arbeitest als Richter</w:t>
            </w:r>
            <w:r>
              <w:rPr>
                <w:rFonts w:ascii="Calibri" w:hAnsi="Calibri"/>
              </w:rPr>
              <w:t>*</w:t>
            </w:r>
            <w:r w:rsidRPr="00A33EE2">
              <w:rPr>
                <w:rFonts w:ascii="Calibri" w:hAnsi="Calibri"/>
              </w:rPr>
              <w:t>in am Europäischen Gerichtshof. Du hörst dir beide Positionen an. Fälle eine Entscheidung!</w:t>
            </w:r>
          </w:p>
        </w:tc>
      </w:tr>
      <w:tr w:rsidR="00E97234" w:rsidRPr="00A33EE2" w14:paraId="1BCB53C6" w14:textId="77777777" w:rsidTr="00E97234">
        <w:tc>
          <w:tcPr>
            <w:tcW w:w="2249" w:type="dxa"/>
          </w:tcPr>
          <w:p w14:paraId="2086C0C9" w14:textId="77777777" w:rsidR="00E97234" w:rsidRPr="00A33EE2" w:rsidRDefault="00E97234" w:rsidP="00F25257">
            <w:pPr>
              <w:jc w:val="both"/>
              <w:rPr>
                <w:rFonts w:ascii="Calibri" w:hAnsi="Calibri"/>
              </w:rPr>
            </w:pPr>
            <w:r w:rsidRPr="00A33EE2">
              <w:rPr>
                <w:rFonts w:ascii="Calibri" w:hAnsi="Calibri"/>
                <w:b/>
              </w:rPr>
              <w:t>EuGH-Entscheidung in der Realität</w:t>
            </w:r>
          </w:p>
        </w:tc>
        <w:tc>
          <w:tcPr>
            <w:tcW w:w="6957" w:type="dxa"/>
          </w:tcPr>
          <w:p w14:paraId="6C9E9BC9" w14:textId="77E4DDDB" w:rsidR="00E97234" w:rsidRPr="00A33EE2" w:rsidRDefault="008615D0" w:rsidP="00F25257">
            <w:pPr>
              <w:jc w:val="both"/>
              <w:rPr>
                <w:rFonts w:ascii="Calibri" w:hAnsi="Calibri"/>
              </w:rPr>
            </w:pPr>
            <w:r>
              <w:rPr>
                <w:rFonts w:ascii="Calibri" w:hAnsi="Calibri"/>
              </w:rPr>
              <w:t xml:space="preserve">1985 gibt </w:t>
            </w:r>
            <w:r w:rsidR="00E97234" w:rsidRPr="00A33EE2">
              <w:rPr>
                <w:rFonts w:ascii="Calibri" w:hAnsi="Calibri"/>
              </w:rPr>
              <w:t>der EuGH</w:t>
            </w:r>
            <w:r>
              <w:rPr>
                <w:rFonts w:ascii="Calibri" w:hAnsi="Calibri"/>
              </w:rPr>
              <w:t xml:space="preserve"> Francoise </w:t>
            </w:r>
            <w:proofErr w:type="spellStart"/>
            <w:r>
              <w:rPr>
                <w:rFonts w:ascii="Calibri" w:hAnsi="Calibri"/>
              </w:rPr>
              <w:t>Gravier</w:t>
            </w:r>
            <w:proofErr w:type="spellEnd"/>
            <w:r>
              <w:rPr>
                <w:rFonts w:ascii="Calibri" w:hAnsi="Calibri"/>
              </w:rPr>
              <w:t xml:space="preserve"> recht</w:t>
            </w:r>
            <w:r w:rsidR="00E97234" w:rsidRPr="00A33EE2">
              <w:rPr>
                <w:rFonts w:ascii="Calibri" w:hAnsi="Calibri"/>
              </w:rPr>
              <w:t xml:space="preserve">, dass eine Abgabe, Einschreibe- oder </w:t>
            </w:r>
            <w:proofErr w:type="spellStart"/>
            <w:r w:rsidR="00E97234" w:rsidRPr="00A33EE2">
              <w:rPr>
                <w:rFonts w:ascii="Calibri" w:hAnsi="Calibri"/>
              </w:rPr>
              <w:t>Studiengebühr</w:t>
            </w:r>
            <w:proofErr w:type="spellEnd"/>
            <w:r w:rsidR="00E97234" w:rsidRPr="00A33EE2">
              <w:rPr>
                <w:rFonts w:ascii="Calibri" w:hAnsi="Calibri"/>
              </w:rPr>
              <w:t xml:space="preserve"> </w:t>
            </w:r>
            <w:proofErr w:type="spellStart"/>
            <w:r w:rsidR="00E97234" w:rsidRPr="00A33EE2">
              <w:rPr>
                <w:rFonts w:ascii="Calibri" w:hAnsi="Calibri"/>
              </w:rPr>
              <w:t>für</w:t>
            </w:r>
            <w:proofErr w:type="spellEnd"/>
            <w:r w:rsidR="00E97234" w:rsidRPr="00A33EE2">
              <w:rPr>
                <w:rFonts w:ascii="Calibri" w:hAnsi="Calibri"/>
              </w:rPr>
              <w:t xml:space="preserve"> den Zugang zum berufsbildenden Unterricht eine gegen EU-Recht verstoßende Diskriminierung aus Gründen der </w:t>
            </w:r>
            <w:proofErr w:type="spellStart"/>
            <w:r w:rsidR="00E97234" w:rsidRPr="00A33EE2">
              <w:rPr>
                <w:rFonts w:ascii="Calibri" w:hAnsi="Calibri"/>
              </w:rPr>
              <w:t>Staatsangehörigkeit</w:t>
            </w:r>
            <w:proofErr w:type="spellEnd"/>
            <w:r w:rsidR="00E97234" w:rsidRPr="00A33EE2">
              <w:rPr>
                <w:rFonts w:ascii="Calibri" w:hAnsi="Calibri"/>
              </w:rPr>
              <w:t xml:space="preserve"> darstellt, wenn sie von Studierenden aus anderen EU-Mitgliedstaaten, nicht aber von </w:t>
            </w:r>
            <w:proofErr w:type="spellStart"/>
            <w:r w:rsidR="00E97234" w:rsidRPr="00A33EE2">
              <w:rPr>
                <w:rFonts w:ascii="Calibri" w:hAnsi="Calibri"/>
              </w:rPr>
              <w:t>inländischen</w:t>
            </w:r>
            <w:proofErr w:type="spellEnd"/>
            <w:r w:rsidR="00E97234" w:rsidRPr="00A33EE2">
              <w:rPr>
                <w:rFonts w:ascii="Calibri" w:hAnsi="Calibri"/>
              </w:rPr>
              <w:t xml:space="preserve"> Studierenden erhoben wird.</w:t>
            </w:r>
            <w:r w:rsidR="00E97234" w:rsidRPr="00A33EE2">
              <w:rPr>
                <w:rFonts w:ascii="Calibri" w:hAnsi="Calibri"/>
                <w:b/>
              </w:rPr>
              <w:t xml:space="preserve"> </w:t>
            </w:r>
            <w:r w:rsidR="00E97234" w:rsidRPr="00A33EE2">
              <w:rPr>
                <w:rFonts w:ascii="Calibri" w:hAnsi="Calibri"/>
              </w:rPr>
              <w:t xml:space="preserve">Das </w:t>
            </w:r>
            <w:r>
              <w:rPr>
                <w:rFonts w:ascii="Calibri" w:hAnsi="Calibri"/>
              </w:rPr>
              <w:t xml:space="preserve">national widersprechende </w:t>
            </w:r>
            <w:r w:rsidR="00E97234" w:rsidRPr="00A33EE2">
              <w:rPr>
                <w:rFonts w:ascii="Calibri" w:hAnsi="Calibri"/>
              </w:rPr>
              <w:t>Gesetz muss aufgehoben werden und es muss der Fall sein, dass EU-Bürger*innen überall innerhalb der EU gleich viel oder nichts zahlen für ihre Ausbildung.</w:t>
            </w:r>
          </w:p>
        </w:tc>
      </w:tr>
    </w:tbl>
    <w:p w14:paraId="7B1EE2ED" w14:textId="77777777" w:rsidR="00F07160" w:rsidRDefault="00F07160" w:rsidP="00F07160">
      <w:pPr>
        <w:rPr>
          <w:rFonts w:ascii="Calibri" w:hAnsi="Calibri"/>
        </w:rPr>
      </w:pPr>
    </w:p>
    <w:p w14:paraId="154140DC" w14:textId="77777777" w:rsidR="00F25257" w:rsidRPr="00A33EE2" w:rsidRDefault="00F25257" w:rsidP="00F07160">
      <w:pPr>
        <w:rPr>
          <w:rFonts w:ascii="Calibri" w:hAnsi="Calibri"/>
        </w:rPr>
      </w:pPr>
    </w:p>
    <w:tbl>
      <w:tblPr>
        <w:tblStyle w:val="Tabellenraster"/>
        <w:tblW w:w="0" w:type="auto"/>
        <w:tblLook w:val="04A0" w:firstRow="1" w:lastRow="0" w:firstColumn="1" w:lastColumn="0" w:noHBand="0" w:noVBand="1"/>
      </w:tblPr>
      <w:tblGrid>
        <w:gridCol w:w="2249"/>
        <w:gridCol w:w="6957"/>
      </w:tblGrid>
      <w:tr w:rsidR="00E97234" w:rsidRPr="00A33EE2" w14:paraId="6D6EC2AD" w14:textId="77777777" w:rsidTr="00E97234">
        <w:tc>
          <w:tcPr>
            <w:tcW w:w="9206" w:type="dxa"/>
            <w:gridSpan w:val="2"/>
          </w:tcPr>
          <w:p w14:paraId="3D2FCA40" w14:textId="759CEE8A" w:rsidR="00E97234" w:rsidRPr="00A33EE2" w:rsidRDefault="00E97234" w:rsidP="00E97234">
            <w:pPr>
              <w:rPr>
                <w:rFonts w:ascii="Calibri" w:hAnsi="Calibri"/>
              </w:rPr>
            </w:pPr>
            <w:r w:rsidRPr="00A33EE2">
              <w:rPr>
                <w:rFonts w:ascii="Calibri" w:hAnsi="Calibri"/>
                <w:sz w:val="28"/>
              </w:rPr>
              <w:t>Gleichbehandlung Mann-Frau</w:t>
            </w:r>
          </w:p>
        </w:tc>
      </w:tr>
      <w:tr w:rsidR="00E97234" w:rsidRPr="00A33EE2" w14:paraId="4BF09684" w14:textId="77777777" w:rsidTr="00E97234">
        <w:tc>
          <w:tcPr>
            <w:tcW w:w="2249" w:type="dxa"/>
          </w:tcPr>
          <w:p w14:paraId="4D2F6759" w14:textId="77777777" w:rsidR="00E97234" w:rsidRPr="00A33EE2" w:rsidRDefault="00E97234" w:rsidP="00E97234">
            <w:pPr>
              <w:rPr>
                <w:rFonts w:ascii="Calibri" w:hAnsi="Calibri"/>
              </w:rPr>
            </w:pPr>
            <w:r w:rsidRPr="00A33EE2">
              <w:rPr>
                <w:rFonts w:ascii="Calibri" w:hAnsi="Calibri"/>
                <w:b/>
              </w:rPr>
              <w:t>Ausgangssituation</w:t>
            </w:r>
          </w:p>
        </w:tc>
        <w:tc>
          <w:tcPr>
            <w:tcW w:w="6957" w:type="dxa"/>
          </w:tcPr>
          <w:p w14:paraId="2E9CAEF4" w14:textId="19ABC2BF" w:rsidR="00E97234" w:rsidRPr="00A33EE2" w:rsidRDefault="00E97234" w:rsidP="00D5069D">
            <w:pPr>
              <w:jc w:val="both"/>
              <w:rPr>
                <w:rFonts w:ascii="Calibri" w:hAnsi="Calibri"/>
              </w:rPr>
            </w:pPr>
            <w:r w:rsidRPr="00A33EE2">
              <w:rPr>
                <w:rFonts w:ascii="Calibri" w:hAnsi="Calibri"/>
              </w:rPr>
              <w:t xml:space="preserve">Alfred Stöckel, Inhaber der Firma SA </w:t>
            </w:r>
            <w:proofErr w:type="spellStart"/>
            <w:r w:rsidRPr="00A33EE2">
              <w:rPr>
                <w:rFonts w:ascii="Calibri" w:hAnsi="Calibri"/>
              </w:rPr>
              <w:t>Suma</w:t>
            </w:r>
            <w:proofErr w:type="spellEnd"/>
            <w:r w:rsidRPr="00A33EE2">
              <w:rPr>
                <w:rFonts w:ascii="Calibri" w:hAnsi="Calibri"/>
              </w:rPr>
              <w:t>, musste aufgrund einer wirtschaftlichen Schieflage dafür sorgen, dass mehr produziert wird. Deshalb führte er die Nachtarbeit ein, sodass die Maschinen nicht mehr stillst</w:t>
            </w:r>
            <w:r w:rsidR="00F25257">
              <w:rPr>
                <w:rFonts w:ascii="Calibri" w:hAnsi="Calibri"/>
              </w:rPr>
              <w:t>anden</w:t>
            </w:r>
            <w:r w:rsidRPr="00A33EE2">
              <w:rPr>
                <w:rFonts w:ascii="Calibri" w:hAnsi="Calibri"/>
              </w:rPr>
              <w:t xml:space="preserve"> über Nacht. Für die Nachtschicht setzte er</w:t>
            </w:r>
            <w:r w:rsidR="007D5D9E">
              <w:rPr>
                <w:rFonts w:ascii="Calibri" w:hAnsi="Calibri"/>
              </w:rPr>
              <w:t xml:space="preserve"> notwendigerweise die ganze Belegschaft, sprich</w:t>
            </w:r>
            <w:r w:rsidRPr="00A33EE2">
              <w:rPr>
                <w:rFonts w:ascii="Calibri" w:hAnsi="Calibri"/>
              </w:rPr>
              <w:t xml:space="preserve"> Frauen und Männer gleichermaßen</w:t>
            </w:r>
            <w:r w:rsidR="007D5D9E">
              <w:rPr>
                <w:rFonts w:ascii="Calibri" w:hAnsi="Calibri"/>
              </w:rPr>
              <w:t>,</w:t>
            </w:r>
            <w:r w:rsidRPr="00A33EE2">
              <w:rPr>
                <w:rFonts w:ascii="Calibri" w:hAnsi="Calibri"/>
              </w:rPr>
              <w:t xml:space="preserve"> ein. Damit verst</w:t>
            </w:r>
            <w:r w:rsidR="00F25257">
              <w:rPr>
                <w:rFonts w:ascii="Calibri" w:hAnsi="Calibri"/>
              </w:rPr>
              <w:t>oß</w:t>
            </w:r>
            <w:r w:rsidRPr="00A33EE2">
              <w:rPr>
                <w:rFonts w:ascii="Calibri" w:hAnsi="Calibri"/>
              </w:rPr>
              <w:t xml:space="preserve"> er gegen französisches Recht</w:t>
            </w:r>
            <w:r w:rsidR="00F25257">
              <w:rPr>
                <w:rFonts w:ascii="Calibri" w:hAnsi="Calibri"/>
              </w:rPr>
              <w:t xml:space="preserve"> und wurde angeklagt</w:t>
            </w:r>
            <w:r w:rsidRPr="00A33EE2">
              <w:rPr>
                <w:rFonts w:ascii="Calibri" w:hAnsi="Calibri"/>
              </w:rPr>
              <w:t xml:space="preserve">, denn Frauen </w:t>
            </w:r>
            <w:r w:rsidR="00F25257">
              <w:rPr>
                <w:rFonts w:ascii="Calibri" w:hAnsi="Calibri"/>
              </w:rPr>
              <w:t xml:space="preserve">ist </w:t>
            </w:r>
            <w:r w:rsidRPr="00A33EE2">
              <w:rPr>
                <w:rFonts w:ascii="Calibri" w:hAnsi="Calibri"/>
              </w:rPr>
              <w:t>demnach die Nachtarbeit in Fabriken, Manufakturen und Werkstä</w:t>
            </w:r>
            <w:r w:rsidR="00F25257">
              <w:rPr>
                <w:rFonts w:ascii="Calibri" w:hAnsi="Calibri"/>
              </w:rPr>
              <w:t xml:space="preserve">tten nicht erlaubt. Daraufhin </w:t>
            </w:r>
            <w:r w:rsidR="007D5D9E">
              <w:rPr>
                <w:rFonts w:ascii="Calibri" w:hAnsi="Calibri"/>
              </w:rPr>
              <w:t xml:space="preserve">wies Herr Stöckel vor dem französischen Gericht auf die Unvereinbarkeit der nationalen Regelung mit der EU-rechtlichen Gleichbehandlung von Mann und Frau hin. Das nationale Gericht legte die Frage zur Entscheidung dem EuGH zur Vorabentscheidung vor. </w:t>
            </w:r>
          </w:p>
        </w:tc>
      </w:tr>
      <w:tr w:rsidR="00E97234" w:rsidRPr="00A33EE2" w14:paraId="53A8EC1D" w14:textId="77777777" w:rsidTr="00E97234">
        <w:tc>
          <w:tcPr>
            <w:tcW w:w="2249" w:type="dxa"/>
          </w:tcPr>
          <w:p w14:paraId="67CB118E" w14:textId="77777777" w:rsidR="00E97234" w:rsidRPr="00A33EE2" w:rsidRDefault="00E97234" w:rsidP="00E97234">
            <w:pPr>
              <w:rPr>
                <w:rFonts w:ascii="Calibri" w:hAnsi="Calibri"/>
                <w:b/>
              </w:rPr>
            </w:pPr>
            <w:r w:rsidRPr="00A33EE2">
              <w:rPr>
                <w:rFonts w:ascii="Calibri" w:hAnsi="Calibri"/>
                <w:b/>
              </w:rPr>
              <w:t xml:space="preserve">Rollenkarte </w:t>
            </w:r>
          </w:p>
          <w:p w14:paraId="746D58FD" w14:textId="4FC75D40" w:rsidR="00E97234" w:rsidRPr="00A33EE2" w:rsidRDefault="00E97234" w:rsidP="00E97234">
            <w:pPr>
              <w:rPr>
                <w:rFonts w:ascii="Calibri" w:hAnsi="Calibri"/>
              </w:rPr>
            </w:pPr>
            <w:r w:rsidRPr="00A33EE2">
              <w:rPr>
                <w:rFonts w:ascii="Calibri" w:hAnsi="Calibri"/>
                <w:b/>
              </w:rPr>
              <w:t>Alfred Stöckel</w:t>
            </w:r>
          </w:p>
        </w:tc>
        <w:tc>
          <w:tcPr>
            <w:tcW w:w="6957" w:type="dxa"/>
          </w:tcPr>
          <w:p w14:paraId="21FBCB09" w14:textId="53529A9F" w:rsidR="00E97234" w:rsidRPr="00A33EE2" w:rsidRDefault="007D5D9E" w:rsidP="00D5069D">
            <w:pPr>
              <w:jc w:val="both"/>
              <w:rPr>
                <w:rFonts w:ascii="Calibri" w:hAnsi="Calibri"/>
              </w:rPr>
            </w:pPr>
            <w:r>
              <w:rPr>
                <w:rFonts w:ascii="Calibri" w:hAnsi="Calibri"/>
              </w:rPr>
              <w:t>Du bist Alfred Stöckel. Dein Unternehmen sah sich vor die Entscheidung gestellt: Entweder 200 Menschen müssen entlassen werden, oder die gesamte Belegschaft arbeitet Tag und Nacht. Unter Absprache mit der Gewerkschaft und der Zustimmung der Frauen hast du dann die Nachtarbeit für alle eingeführt. Daraufhin wurdest du angeklagt, aber eine Gleichbehandlung von Frau und Mann bedeutet für d</w:t>
            </w:r>
            <w:r w:rsidR="0029197E">
              <w:rPr>
                <w:rFonts w:ascii="Calibri" w:hAnsi="Calibri"/>
              </w:rPr>
              <w:t>ich, dass das Geschlecht nicht die</w:t>
            </w:r>
            <w:r>
              <w:rPr>
                <w:rFonts w:ascii="Calibri" w:hAnsi="Calibri"/>
              </w:rPr>
              <w:t xml:space="preserve"> </w:t>
            </w:r>
            <w:r w:rsidR="0029197E">
              <w:rPr>
                <w:rFonts w:ascii="Calibri" w:hAnsi="Calibri"/>
              </w:rPr>
              <w:t>Arbeitszeiten</w:t>
            </w:r>
            <w:r>
              <w:rPr>
                <w:rFonts w:ascii="Calibri" w:hAnsi="Calibri"/>
              </w:rPr>
              <w:t xml:space="preserve"> </w:t>
            </w:r>
            <w:r w:rsidR="0029197E">
              <w:rPr>
                <w:rFonts w:ascii="Calibri" w:hAnsi="Calibri"/>
              </w:rPr>
              <w:t>einschränken darf.</w:t>
            </w:r>
            <w:r>
              <w:rPr>
                <w:rFonts w:ascii="Calibri" w:hAnsi="Calibri"/>
              </w:rPr>
              <w:t xml:space="preserve"> </w:t>
            </w:r>
          </w:p>
        </w:tc>
      </w:tr>
      <w:tr w:rsidR="00E97234" w:rsidRPr="00A33EE2" w14:paraId="4ADAC5ED" w14:textId="77777777" w:rsidTr="00E97234">
        <w:tc>
          <w:tcPr>
            <w:tcW w:w="2249" w:type="dxa"/>
          </w:tcPr>
          <w:p w14:paraId="1276F831" w14:textId="7889EC6D" w:rsidR="00E97234" w:rsidRPr="00A33EE2" w:rsidRDefault="00E97234" w:rsidP="0029197E">
            <w:pPr>
              <w:rPr>
                <w:rFonts w:ascii="Calibri" w:hAnsi="Calibri"/>
              </w:rPr>
            </w:pPr>
            <w:r w:rsidRPr="00A33EE2">
              <w:rPr>
                <w:rFonts w:ascii="Calibri" w:hAnsi="Calibri"/>
                <w:b/>
              </w:rPr>
              <w:t xml:space="preserve">Rollenkarte </w:t>
            </w:r>
            <w:r w:rsidR="0029197E">
              <w:rPr>
                <w:rFonts w:ascii="Calibri" w:hAnsi="Calibri"/>
                <w:b/>
              </w:rPr>
              <w:t xml:space="preserve">des französischen </w:t>
            </w:r>
            <w:r w:rsidRPr="00A33EE2">
              <w:rPr>
                <w:rFonts w:ascii="Calibri" w:hAnsi="Calibri"/>
                <w:b/>
              </w:rPr>
              <w:t>Staatsanwalt</w:t>
            </w:r>
            <w:r w:rsidR="0029197E">
              <w:rPr>
                <w:rFonts w:ascii="Calibri" w:hAnsi="Calibri"/>
                <w:b/>
              </w:rPr>
              <w:t xml:space="preserve">s Herr/Frau </w:t>
            </w:r>
            <w:proofErr w:type="spellStart"/>
            <w:r w:rsidR="0029197E">
              <w:rPr>
                <w:rFonts w:ascii="Calibri" w:hAnsi="Calibri"/>
                <w:b/>
              </w:rPr>
              <w:t>Pépinot</w:t>
            </w:r>
            <w:proofErr w:type="spellEnd"/>
          </w:p>
        </w:tc>
        <w:tc>
          <w:tcPr>
            <w:tcW w:w="6957" w:type="dxa"/>
          </w:tcPr>
          <w:p w14:paraId="791C399A" w14:textId="4DAA3C3C" w:rsidR="00E97234" w:rsidRPr="00A33EE2" w:rsidRDefault="0029197E" w:rsidP="00D5069D">
            <w:pPr>
              <w:jc w:val="both"/>
              <w:rPr>
                <w:rFonts w:ascii="Calibri" w:hAnsi="Calibri"/>
              </w:rPr>
            </w:pPr>
            <w:r>
              <w:rPr>
                <w:rFonts w:ascii="Calibri" w:hAnsi="Calibri"/>
              </w:rPr>
              <w:t xml:space="preserve">Du bist der Vertreter des französischen Nationalstaats Herr/Frau </w:t>
            </w:r>
            <w:proofErr w:type="spellStart"/>
            <w:r>
              <w:rPr>
                <w:rFonts w:ascii="Calibri" w:hAnsi="Calibri"/>
              </w:rPr>
              <w:t>Pépinot</w:t>
            </w:r>
            <w:proofErr w:type="spellEnd"/>
            <w:r>
              <w:rPr>
                <w:rFonts w:ascii="Calibri" w:hAnsi="Calibri"/>
              </w:rPr>
              <w:t xml:space="preserve">. Du bist der Meinung, dass </w:t>
            </w:r>
            <w:r w:rsidR="00E97234" w:rsidRPr="00A33EE2">
              <w:rPr>
                <w:rFonts w:ascii="Calibri" w:hAnsi="Calibri"/>
              </w:rPr>
              <w:t>Frauen und Männer in diesem Fall</w:t>
            </w:r>
            <w:r>
              <w:rPr>
                <w:rFonts w:ascii="Calibri" w:hAnsi="Calibri"/>
              </w:rPr>
              <w:t xml:space="preserve"> berechtigterweise</w:t>
            </w:r>
            <w:r w:rsidR="00E97234" w:rsidRPr="00A33EE2">
              <w:rPr>
                <w:rFonts w:ascii="Calibri" w:hAnsi="Calibri"/>
              </w:rPr>
              <w:t xml:space="preserve"> ungleich behandelt werden, da</w:t>
            </w:r>
            <w:r>
              <w:rPr>
                <w:rFonts w:ascii="Calibri" w:hAnsi="Calibri"/>
              </w:rPr>
              <w:t xml:space="preserve"> </w:t>
            </w:r>
            <w:r w:rsidR="00E97234" w:rsidRPr="00A33EE2">
              <w:rPr>
                <w:rFonts w:ascii="Calibri" w:hAnsi="Calibri"/>
              </w:rPr>
              <w:t>Frauen stärker Überfälle in der Nacht fürchten müssen</w:t>
            </w:r>
            <w:r>
              <w:rPr>
                <w:rFonts w:ascii="Calibri" w:hAnsi="Calibri"/>
              </w:rPr>
              <w:t xml:space="preserve">. Außerdem muss </w:t>
            </w:r>
            <w:r w:rsidR="00E97234" w:rsidRPr="00A33EE2">
              <w:rPr>
                <w:rFonts w:ascii="Calibri" w:hAnsi="Calibri"/>
              </w:rPr>
              <w:t xml:space="preserve">ihre Nachtruhe geschützt </w:t>
            </w:r>
            <w:r>
              <w:rPr>
                <w:rFonts w:ascii="Calibri" w:hAnsi="Calibri"/>
              </w:rPr>
              <w:t>werden</w:t>
            </w:r>
            <w:r w:rsidR="00E97234" w:rsidRPr="00A33EE2">
              <w:rPr>
                <w:rFonts w:ascii="Calibri" w:hAnsi="Calibri"/>
              </w:rPr>
              <w:t>, da sie schon tagsüber einer höheren Arbeitsbelastung innerhalb der Familie</w:t>
            </w:r>
            <w:r>
              <w:rPr>
                <w:rFonts w:ascii="Calibri" w:hAnsi="Calibri"/>
              </w:rPr>
              <w:t xml:space="preserve"> aufgrund der Kindererziehung</w:t>
            </w:r>
            <w:r w:rsidR="00E97234" w:rsidRPr="00A33EE2">
              <w:rPr>
                <w:rFonts w:ascii="Calibri" w:hAnsi="Calibri"/>
              </w:rPr>
              <w:t xml:space="preserve"> ausgesetzt sind</w:t>
            </w:r>
            <w:r>
              <w:rPr>
                <w:rFonts w:ascii="Calibri" w:hAnsi="Calibri"/>
              </w:rPr>
              <w:t>.</w:t>
            </w:r>
          </w:p>
        </w:tc>
      </w:tr>
      <w:tr w:rsidR="00E97234" w:rsidRPr="00A33EE2" w14:paraId="6E9CA3ED" w14:textId="77777777" w:rsidTr="00E97234">
        <w:tc>
          <w:tcPr>
            <w:tcW w:w="2249" w:type="dxa"/>
          </w:tcPr>
          <w:p w14:paraId="45E7EE0A" w14:textId="0FCE806E" w:rsidR="00E97234" w:rsidRPr="00A33EE2" w:rsidRDefault="00E97234" w:rsidP="00E97234">
            <w:pPr>
              <w:rPr>
                <w:rFonts w:ascii="Calibri" w:hAnsi="Calibri"/>
              </w:rPr>
            </w:pPr>
            <w:r w:rsidRPr="00A33EE2">
              <w:rPr>
                <w:rFonts w:ascii="Calibri" w:hAnsi="Calibri"/>
                <w:b/>
              </w:rPr>
              <w:t>Rollenkarte Richter*in</w:t>
            </w:r>
            <w:r w:rsidR="0029197E">
              <w:rPr>
                <w:rFonts w:ascii="Calibri" w:hAnsi="Calibri"/>
                <w:b/>
              </w:rPr>
              <w:t xml:space="preserve"> Jovanovic</w:t>
            </w:r>
          </w:p>
        </w:tc>
        <w:tc>
          <w:tcPr>
            <w:tcW w:w="6957" w:type="dxa"/>
          </w:tcPr>
          <w:p w14:paraId="3E1960A0" w14:textId="7D2E969A" w:rsidR="00E97234" w:rsidRPr="00A33EE2" w:rsidRDefault="0029197E" w:rsidP="00D5069D">
            <w:pPr>
              <w:jc w:val="both"/>
              <w:rPr>
                <w:rFonts w:ascii="Calibri" w:hAnsi="Calibri"/>
              </w:rPr>
            </w:pPr>
            <w:r w:rsidRPr="00A33EE2">
              <w:rPr>
                <w:rFonts w:ascii="Calibri" w:hAnsi="Calibri"/>
              </w:rPr>
              <w:t xml:space="preserve">Du bist </w:t>
            </w:r>
            <w:r>
              <w:rPr>
                <w:rFonts w:ascii="Calibri" w:hAnsi="Calibri"/>
              </w:rPr>
              <w:t>Frau/Herr</w:t>
            </w:r>
            <w:r w:rsidRPr="00A33EE2">
              <w:rPr>
                <w:rFonts w:ascii="Calibri" w:hAnsi="Calibri"/>
              </w:rPr>
              <w:t xml:space="preserve"> </w:t>
            </w:r>
            <w:r>
              <w:rPr>
                <w:rFonts w:ascii="Calibri" w:hAnsi="Calibri"/>
              </w:rPr>
              <w:t>Jovanovic</w:t>
            </w:r>
            <w:r w:rsidRPr="00A33EE2">
              <w:rPr>
                <w:rFonts w:ascii="Calibri" w:hAnsi="Calibri"/>
              </w:rPr>
              <w:t xml:space="preserve"> und arbeitest als Richter</w:t>
            </w:r>
            <w:r>
              <w:rPr>
                <w:rFonts w:ascii="Calibri" w:hAnsi="Calibri"/>
              </w:rPr>
              <w:t>*</w:t>
            </w:r>
            <w:r w:rsidRPr="00A33EE2">
              <w:rPr>
                <w:rFonts w:ascii="Calibri" w:hAnsi="Calibri"/>
              </w:rPr>
              <w:t>in am Europäischen Gerichtshof. Du hörst dir beide Positionen an. Fälle eine Entscheidung!</w:t>
            </w:r>
          </w:p>
        </w:tc>
      </w:tr>
      <w:tr w:rsidR="00E97234" w:rsidRPr="00A33EE2" w14:paraId="129FAC09" w14:textId="77777777" w:rsidTr="00E97234">
        <w:tc>
          <w:tcPr>
            <w:tcW w:w="2249" w:type="dxa"/>
          </w:tcPr>
          <w:p w14:paraId="0A49B815" w14:textId="77777777" w:rsidR="00E97234" w:rsidRPr="00A33EE2" w:rsidRDefault="00E97234" w:rsidP="00E97234">
            <w:pPr>
              <w:rPr>
                <w:rFonts w:ascii="Calibri" w:hAnsi="Calibri"/>
              </w:rPr>
            </w:pPr>
            <w:r w:rsidRPr="00A33EE2">
              <w:rPr>
                <w:rFonts w:ascii="Calibri" w:hAnsi="Calibri"/>
                <w:b/>
              </w:rPr>
              <w:t>EuGH-Entscheidung in der Realität</w:t>
            </w:r>
          </w:p>
        </w:tc>
        <w:tc>
          <w:tcPr>
            <w:tcW w:w="6957" w:type="dxa"/>
          </w:tcPr>
          <w:p w14:paraId="4927B035" w14:textId="07AE42AD" w:rsidR="00E97234" w:rsidRPr="0029197E" w:rsidRDefault="00E97234" w:rsidP="00D5069D">
            <w:pPr>
              <w:jc w:val="both"/>
              <w:rPr>
                <w:rFonts w:ascii="Calibri" w:hAnsi="Calibri"/>
                <w:b/>
              </w:rPr>
            </w:pPr>
            <w:r w:rsidRPr="00A33EE2">
              <w:rPr>
                <w:rFonts w:ascii="Calibri" w:hAnsi="Calibri"/>
              </w:rPr>
              <w:t>Der EuGH beschließt</w:t>
            </w:r>
            <w:r w:rsidR="0029197E">
              <w:rPr>
                <w:rFonts w:ascii="Calibri" w:hAnsi="Calibri"/>
              </w:rPr>
              <w:t xml:space="preserve"> 1991</w:t>
            </w:r>
            <w:r w:rsidRPr="00A33EE2">
              <w:rPr>
                <w:rFonts w:ascii="Calibri" w:hAnsi="Calibri"/>
              </w:rPr>
              <w:t>: Das französische Arbeitsrecht muss hinsichtlich der Gleichbehandlung von Mann und Frau geändert werden</w:t>
            </w:r>
            <w:r w:rsidR="0029197E">
              <w:rPr>
                <w:rFonts w:ascii="Calibri" w:hAnsi="Calibri"/>
              </w:rPr>
              <w:t xml:space="preserve"> und gibt somit Alfred Stöckel recht</w:t>
            </w:r>
            <w:r w:rsidRPr="00A33EE2">
              <w:rPr>
                <w:rFonts w:ascii="Calibri" w:hAnsi="Calibri"/>
              </w:rPr>
              <w:t>. Nachtarbeit darf Frauen nicht verboten werden, wenn sie Männern zusteht. Auch in Italien gab es ein Gesetz, das vorsah, dass Frauen nicht in der Nachtschicht arbeiten dürfen</w:t>
            </w:r>
            <w:r w:rsidR="0029197E">
              <w:rPr>
                <w:rFonts w:ascii="Calibri" w:hAnsi="Calibri"/>
              </w:rPr>
              <w:t xml:space="preserve">. </w:t>
            </w:r>
            <w:r w:rsidRPr="00A33EE2">
              <w:rPr>
                <w:rFonts w:ascii="Calibri" w:hAnsi="Calibri"/>
              </w:rPr>
              <w:t>Italien und weitere EU-Länder müssen ihr nationales Recht ändern, sodass keine Ungleichbehandlung mehr stattfindet.</w:t>
            </w:r>
          </w:p>
        </w:tc>
      </w:tr>
    </w:tbl>
    <w:p w14:paraId="6AF48CEA" w14:textId="77777777" w:rsidR="00AC2A4A" w:rsidRPr="00A33EE2" w:rsidRDefault="00AC2A4A" w:rsidP="00AC2A4A">
      <w:pPr>
        <w:rPr>
          <w:rFonts w:ascii="Calibri" w:hAnsi="Calibri"/>
        </w:rPr>
      </w:pPr>
    </w:p>
    <w:p w14:paraId="7D0A5FF9" w14:textId="2741F26C" w:rsidR="00F17243" w:rsidRPr="00A33EE2" w:rsidRDefault="00F17243" w:rsidP="00F17243">
      <w:pPr>
        <w:rPr>
          <w:rFonts w:ascii="Calibri" w:hAnsi="Calibri"/>
        </w:rPr>
      </w:pPr>
    </w:p>
    <w:p w14:paraId="40D02559" w14:textId="77777777" w:rsidR="00735D34" w:rsidRDefault="00735D34">
      <w:pPr>
        <w:rPr>
          <w:rFonts w:ascii="Calibri" w:hAnsi="Calibri"/>
        </w:rPr>
      </w:pPr>
    </w:p>
    <w:p w14:paraId="62BD1AE7" w14:textId="77777777" w:rsidR="00D5069D" w:rsidRDefault="00D5069D">
      <w:pPr>
        <w:rPr>
          <w:rFonts w:ascii="Calibri" w:hAnsi="Calibri"/>
        </w:rPr>
      </w:pPr>
    </w:p>
    <w:p w14:paraId="0BBDEDCE" w14:textId="77777777" w:rsidR="00D5069D" w:rsidRDefault="00D5069D">
      <w:pPr>
        <w:rPr>
          <w:rFonts w:ascii="Calibri" w:hAnsi="Calibri"/>
        </w:rPr>
      </w:pPr>
    </w:p>
    <w:p w14:paraId="1058C22B" w14:textId="77777777" w:rsidR="00D5069D" w:rsidRDefault="00D5069D">
      <w:pPr>
        <w:rPr>
          <w:rFonts w:ascii="Calibri" w:hAnsi="Calibri"/>
        </w:rPr>
      </w:pPr>
    </w:p>
    <w:p w14:paraId="0C358FB7" w14:textId="77777777" w:rsidR="00C80BBA" w:rsidRPr="00A33EE2" w:rsidRDefault="00C80BBA">
      <w:pPr>
        <w:rPr>
          <w:rFonts w:ascii="Calibri" w:hAnsi="Calibri"/>
        </w:rPr>
      </w:pPr>
      <w:bookmarkStart w:id="0" w:name="_GoBack"/>
      <w:bookmarkEnd w:id="0"/>
    </w:p>
    <w:tbl>
      <w:tblPr>
        <w:tblStyle w:val="Tabellenraster"/>
        <w:tblW w:w="0" w:type="auto"/>
        <w:tblLook w:val="04A0" w:firstRow="1" w:lastRow="0" w:firstColumn="1" w:lastColumn="0" w:noHBand="0" w:noVBand="1"/>
      </w:tblPr>
      <w:tblGrid>
        <w:gridCol w:w="2249"/>
        <w:gridCol w:w="6957"/>
      </w:tblGrid>
      <w:tr w:rsidR="00E97234" w:rsidRPr="00A33EE2" w14:paraId="4FF96318" w14:textId="77777777" w:rsidTr="00E97234">
        <w:tc>
          <w:tcPr>
            <w:tcW w:w="9206" w:type="dxa"/>
            <w:gridSpan w:val="2"/>
          </w:tcPr>
          <w:p w14:paraId="4BD1F038" w14:textId="6F98C0A2" w:rsidR="00E97234" w:rsidRPr="00A33EE2" w:rsidRDefault="00E97234" w:rsidP="00E97234">
            <w:pPr>
              <w:rPr>
                <w:rFonts w:ascii="Calibri" w:hAnsi="Calibri"/>
                <w:sz w:val="28"/>
              </w:rPr>
            </w:pPr>
            <w:r w:rsidRPr="00A33EE2">
              <w:rPr>
                <w:rFonts w:ascii="Calibri" w:hAnsi="Calibri"/>
                <w:sz w:val="28"/>
              </w:rPr>
              <w:t>Diskriminierung Staatsbürgerschaft – lebenslange Ausweisung</w:t>
            </w:r>
          </w:p>
        </w:tc>
      </w:tr>
      <w:tr w:rsidR="00E97234" w:rsidRPr="00A33EE2" w14:paraId="60BFBC82" w14:textId="77777777" w:rsidTr="00E97234">
        <w:tc>
          <w:tcPr>
            <w:tcW w:w="2249" w:type="dxa"/>
          </w:tcPr>
          <w:p w14:paraId="2D5B65E3" w14:textId="77777777" w:rsidR="00E97234" w:rsidRPr="00A33EE2" w:rsidRDefault="00E97234" w:rsidP="00E97234">
            <w:pPr>
              <w:rPr>
                <w:rFonts w:ascii="Calibri" w:hAnsi="Calibri"/>
              </w:rPr>
            </w:pPr>
            <w:r w:rsidRPr="00A33EE2">
              <w:rPr>
                <w:rFonts w:ascii="Calibri" w:hAnsi="Calibri"/>
                <w:b/>
              </w:rPr>
              <w:t>Ausgangssituation</w:t>
            </w:r>
          </w:p>
        </w:tc>
        <w:tc>
          <w:tcPr>
            <w:tcW w:w="6957" w:type="dxa"/>
          </w:tcPr>
          <w:p w14:paraId="26608AF6" w14:textId="11464858" w:rsidR="00E97234" w:rsidRPr="00A33EE2" w:rsidRDefault="00E97234" w:rsidP="009270FA">
            <w:pPr>
              <w:rPr>
                <w:rFonts w:ascii="Calibri" w:hAnsi="Calibri"/>
              </w:rPr>
            </w:pPr>
            <w:r w:rsidRPr="00A33EE2">
              <w:rPr>
                <w:rFonts w:ascii="Calibri" w:hAnsi="Calibri"/>
              </w:rPr>
              <w:t xml:space="preserve">Die italienische Staatsbürgerin Donatella </w:t>
            </w:r>
            <w:proofErr w:type="spellStart"/>
            <w:r w:rsidRPr="00A33EE2">
              <w:rPr>
                <w:rFonts w:ascii="Calibri" w:hAnsi="Calibri"/>
              </w:rPr>
              <w:t>Calfa</w:t>
            </w:r>
            <w:proofErr w:type="spellEnd"/>
            <w:r w:rsidRPr="00A33EE2">
              <w:rPr>
                <w:rFonts w:ascii="Calibri" w:hAnsi="Calibri"/>
              </w:rPr>
              <w:t xml:space="preserve"> machte Urlaub auf Kreta. Sie wurde mit Betäubungsmitteln zum Eigenkonsum aufgegriffen und wurde deshalb durch ein griechisches Strafgericht zu einer Freiheitsstrafe von drei Monaten verurteilt. Außerdem wurde sie </w:t>
            </w:r>
            <w:r w:rsidR="007220A4" w:rsidRPr="00A33EE2">
              <w:rPr>
                <w:rFonts w:ascii="Calibri" w:hAnsi="Calibri"/>
              </w:rPr>
              <w:t xml:space="preserve">als Ausländerin </w:t>
            </w:r>
            <w:r w:rsidRPr="00A33EE2">
              <w:rPr>
                <w:rFonts w:ascii="Calibri" w:hAnsi="Calibri"/>
              </w:rPr>
              <w:t>zusätzlich nach geltendem Strafrecht auf Lebenszeit des Landes verwiesen. Griechische Bürger*innen können strafrechtlich nicht lebenslang des Landes verwiesen werden.  Die Italienerin legt</w:t>
            </w:r>
            <w:r w:rsidR="00D5069D">
              <w:rPr>
                <w:rFonts w:ascii="Calibri" w:hAnsi="Calibri"/>
              </w:rPr>
              <w:t>e</w:t>
            </w:r>
            <w:r w:rsidRPr="00A33EE2">
              <w:rPr>
                <w:rFonts w:ascii="Calibri" w:hAnsi="Calibri"/>
              </w:rPr>
              <w:t xml:space="preserve"> daher Einspruch gegen</w:t>
            </w:r>
            <w:r w:rsidR="007220A4" w:rsidRPr="00A33EE2">
              <w:rPr>
                <w:rFonts w:ascii="Calibri" w:hAnsi="Calibri"/>
              </w:rPr>
              <w:t xml:space="preserve"> die lebenslange Ausweisung </w:t>
            </w:r>
            <w:r w:rsidR="00D5069D">
              <w:rPr>
                <w:rFonts w:ascii="Calibri" w:hAnsi="Calibri"/>
              </w:rPr>
              <w:t xml:space="preserve">vor dem </w:t>
            </w:r>
            <w:r w:rsidR="009270FA">
              <w:rPr>
                <w:rFonts w:ascii="Calibri" w:hAnsi="Calibri"/>
              </w:rPr>
              <w:t xml:space="preserve">obersten Gericht der Zivil- und </w:t>
            </w:r>
            <w:proofErr w:type="spellStart"/>
            <w:r w:rsidR="009270FA">
              <w:rPr>
                <w:rFonts w:ascii="Calibri" w:hAnsi="Calibri"/>
              </w:rPr>
              <w:t>Stragerichtsbarkeit</w:t>
            </w:r>
            <w:proofErr w:type="spellEnd"/>
            <w:r w:rsidR="009270FA">
              <w:rPr>
                <w:rFonts w:ascii="Calibri" w:hAnsi="Calibri"/>
              </w:rPr>
              <w:t xml:space="preserve"> in </w:t>
            </w:r>
            <w:proofErr w:type="spellStart"/>
            <w:r w:rsidR="009270FA">
              <w:rPr>
                <w:rFonts w:ascii="Calibri" w:hAnsi="Calibri"/>
              </w:rPr>
              <w:t>griechenland</w:t>
            </w:r>
            <w:proofErr w:type="spellEnd"/>
            <w:r w:rsidR="009270FA">
              <w:rPr>
                <w:rFonts w:ascii="Calibri" w:hAnsi="Calibri"/>
              </w:rPr>
              <w:t xml:space="preserve"> (</w:t>
            </w:r>
            <w:proofErr w:type="spellStart"/>
            <w:r w:rsidR="009270FA">
              <w:rPr>
                <w:rFonts w:ascii="Calibri" w:hAnsi="Calibri"/>
              </w:rPr>
              <w:t>Areios</w:t>
            </w:r>
            <w:proofErr w:type="spellEnd"/>
            <w:r w:rsidR="009270FA">
              <w:rPr>
                <w:rFonts w:ascii="Calibri" w:hAnsi="Calibri"/>
              </w:rPr>
              <w:t xml:space="preserve"> </w:t>
            </w:r>
            <w:proofErr w:type="spellStart"/>
            <w:r w:rsidR="009270FA">
              <w:rPr>
                <w:rFonts w:ascii="Calibri" w:hAnsi="Calibri"/>
              </w:rPr>
              <w:t>Pagos</w:t>
            </w:r>
            <w:proofErr w:type="spellEnd"/>
            <w:r w:rsidR="009270FA">
              <w:rPr>
                <w:rFonts w:ascii="Calibri" w:hAnsi="Calibri"/>
              </w:rPr>
              <w:t>)</w:t>
            </w:r>
            <w:r w:rsidR="00D5069D">
              <w:rPr>
                <w:rFonts w:ascii="Calibri" w:hAnsi="Calibri"/>
              </w:rPr>
              <w:t xml:space="preserve"> </w:t>
            </w:r>
            <w:r w:rsidR="007220A4" w:rsidRPr="00A33EE2">
              <w:rPr>
                <w:rFonts w:ascii="Calibri" w:hAnsi="Calibri"/>
              </w:rPr>
              <w:t xml:space="preserve">ein. </w:t>
            </w:r>
            <w:r w:rsidR="009270FA">
              <w:rPr>
                <w:rFonts w:ascii="Calibri" w:hAnsi="Calibri"/>
              </w:rPr>
              <w:t>Das Gericht entscheidet, dass es sich um eine Frage zur Vereinbarkeit der nationalen Rechtsvorschrift mit dem Gemeinschaftsrecht handelt und legt dem EuGH die Frage zur Vorabentscheidung vor.</w:t>
            </w:r>
          </w:p>
        </w:tc>
      </w:tr>
      <w:tr w:rsidR="00E97234" w:rsidRPr="00A33EE2" w14:paraId="1BD6BFA5" w14:textId="77777777" w:rsidTr="00E97234">
        <w:tc>
          <w:tcPr>
            <w:tcW w:w="2249" w:type="dxa"/>
          </w:tcPr>
          <w:p w14:paraId="36AFA975" w14:textId="77777777" w:rsidR="00E97234" w:rsidRPr="00A33EE2" w:rsidRDefault="00E97234" w:rsidP="00E97234">
            <w:pPr>
              <w:rPr>
                <w:rFonts w:ascii="Calibri" w:hAnsi="Calibri"/>
                <w:b/>
              </w:rPr>
            </w:pPr>
            <w:r w:rsidRPr="00A33EE2">
              <w:rPr>
                <w:rFonts w:ascii="Calibri" w:hAnsi="Calibri"/>
                <w:b/>
              </w:rPr>
              <w:t xml:space="preserve">Rollenkarte </w:t>
            </w:r>
          </w:p>
          <w:p w14:paraId="0C04CC5E" w14:textId="20184C5B" w:rsidR="00E97234" w:rsidRPr="00A33EE2" w:rsidRDefault="00E97234" w:rsidP="00E97234">
            <w:pPr>
              <w:rPr>
                <w:rFonts w:ascii="Calibri" w:hAnsi="Calibri"/>
              </w:rPr>
            </w:pPr>
            <w:r w:rsidRPr="00A33EE2">
              <w:rPr>
                <w:rFonts w:ascii="Calibri" w:hAnsi="Calibri"/>
                <w:b/>
              </w:rPr>
              <w:t xml:space="preserve">Donatella </w:t>
            </w:r>
            <w:proofErr w:type="spellStart"/>
            <w:r w:rsidRPr="00A33EE2">
              <w:rPr>
                <w:rFonts w:ascii="Calibri" w:hAnsi="Calibri"/>
                <w:b/>
              </w:rPr>
              <w:t>Calfa</w:t>
            </w:r>
            <w:proofErr w:type="spellEnd"/>
          </w:p>
        </w:tc>
        <w:tc>
          <w:tcPr>
            <w:tcW w:w="6957" w:type="dxa"/>
          </w:tcPr>
          <w:p w14:paraId="2F20E3FA" w14:textId="6D19D5EC" w:rsidR="00E97234" w:rsidRPr="00A33EE2" w:rsidRDefault="009270FA" w:rsidP="009270FA">
            <w:pPr>
              <w:rPr>
                <w:rFonts w:ascii="Calibri" w:hAnsi="Calibri"/>
              </w:rPr>
            </w:pPr>
            <w:r>
              <w:rPr>
                <w:rFonts w:ascii="Calibri" w:hAnsi="Calibri"/>
              </w:rPr>
              <w:t xml:space="preserve">Du bist die Italienerin Donatella </w:t>
            </w:r>
            <w:proofErr w:type="spellStart"/>
            <w:r>
              <w:rPr>
                <w:rFonts w:ascii="Calibri" w:hAnsi="Calibri"/>
              </w:rPr>
              <w:t>Calfa</w:t>
            </w:r>
            <w:proofErr w:type="spellEnd"/>
            <w:r>
              <w:rPr>
                <w:rFonts w:ascii="Calibri" w:hAnsi="Calibri"/>
              </w:rPr>
              <w:t>. Du hattest</w:t>
            </w:r>
            <w:r w:rsidR="007220A4" w:rsidRPr="00A33EE2">
              <w:rPr>
                <w:rFonts w:ascii="Calibri" w:hAnsi="Calibri"/>
              </w:rPr>
              <w:t xml:space="preserve"> Drogen bei</w:t>
            </w:r>
            <w:r>
              <w:rPr>
                <w:rFonts w:ascii="Calibri" w:hAnsi="Calibri"/>
              </w:rPr>
              <w:t xml:space="preserve"> dir</w:t>
            </w:r>
            <w:r w:rsidR="007220A4" w:rsidRPr="00A33EE2">
              <w:rPr>
                <w:rFonts w:ascii="Calibri" w:hAnsi="Calibri"/>
              </w:rPr>
              <w:t xml:space="preserve">, aber </w:t>
            </w:r>
            <w:r>
              <w:rPr>
                <w:rFonts w:ascii="Calibri" w:hAnsi="Calibri"/>
              </w:rPr>
              <w:t>wolltest diese</w:t>
            </w:r>
            <w:r w:rsidR="007220A4" w:rsidRPr="00A33EE2">
              <w:rPr>
                <w:rFonts w:ascii="Calibri" w:hAnsi="Calibri"/>
              </w:rPr>
              <w:t xml:space="preserve"> nur selbst konsumieren</w:t>
            </w:r>
            <w:r>
              <w:rPr>
                <w:rFonts w:ascii="Calibri" w:hAnsi="Calibri"/>
              </w:rPr>
              <w:t>. Du kannst nicht erkennen</w:t>
            </w:r>
            <w:r w:rsidR="007220A4" w:rsidRPr="00A33EE2">
              <w:rPr>
                <w:rFonts w:ascii="Calibri" w:hAnsi="Calibri"/>
              </w:rPr>
              <w:t xml:space="preserve">, </w:t>
            </w:r>
            <w:r>
              <w:rPr>
                <w:rFonts w:ascii="Calibri" w:hAnsi="Calibri"/>
              </w:rPr>
              <w:t>dass du dadurch die Sicherheit oder Gesundheit</w:t>
            </w:r>
            <w:r w:rsidR="007220A4" w:rsidRPr="00A33EE2">
              <w:rPr>
                <w:rFonts w:ascii="Calibri" w:hAnsi="Calibri"/>
              </w:rPr>
              <w:t xml:space="preserve"> der Öffentlichkeit gefährdet</w:t>
            </w:r>
            <w:r>
              <w:rPr>
                <w:rFonts w:ascii="Calibri" w:hAnsi="Calibri"/>
              </w:rPr>
              <w:t xml:space="preserve"> hättest. Du akzeptierst aufgrund des Verbots von Drogen in Griechenland die Freiheitsstrafe, aber du findest es als europäische Staatsbürgerin ungerecht</w:t>
            </w:r>
            <w:r w:rsidR="007220A4" w:rsidRPr="00A33EE2">
              <w:rPr>
                <w:rFonts w:ascii="Calibri" w:hAnsi="Calibri"/>
              </w:rPr>
              <w:t>, da</w:t>
            </w:r>
            <w:r>
              <w:rPr>
                <w:rFonts w:ascii="Calibri" w:hAnsi="Calibri"/>
              </w:rPr>
              <w:t>ss</w:t>
            </w:r>
            <w:r w:rsidR="007220A4" w:rsidRPr="00A33EE2">
              <w:rPr>
                <w:rFonts w:ascii="Calibri" w:hAnsi="Calibri"/>
              </w:rPr>
              <w:t xml:space="preserve"> </w:t>
            </w:r>
            <w:r>
              <w:rPr>
                <w:rFonts w:ascii="Calibri" w:hAnsi="Calibri"/>
              </w:rPr>
              <w:t>nur Ausländer*innen lebenslang des Landes verwiesen werden können.</w:t>
            </w:r>
          </w:p>
        </w:tc>
      </w:tr>
      <w:tr w:rsidR="00E97234" w:rsidRPr="00A33EE2" w14:paraId="38F5D158" w14:textId="77777777" w:rsidTr="00E97234">
        <w:tc>
          <w:tcPr>
            <w:tcW w:w="2249" w:type="dxa"/>
          </w:tcPr>
          <w:p w14:paraId="1882DDE8" w14:textId="23BC398B" w:rsidR="00E97234" w:rsidRPr="00A33EE2" w:rsidRDefault="009270FA" w:rsidP="009270FA">
            <w:pPr>
              <w:rPr>
                <w:rFonts w:ascii="Calibri" w:hAnsi="Calibri"/>
              </w:rPr>
            </w:pPr>
            <w:r>
              <w:rPr>
                <w:rFonts w:ascii="Calibri" w:hAnsi="Calibri"/>
                <w:b/>
              </w:rPr>
              <w:t>Rollenkarte griechische*r Vertreter*in</w:t>
            </w:r>
            <w:r w:rsidR="003C30FD">
              <w:rPr>
                <w:rFonts w:ascii="Calibri" w:hAnsi="Calibri"/>
                <w:b/>
              </w:rPr>
              <w:t xml:space="preserve"> Karamanlis</w:t>
            </w:r>
            <w:r>
              <w:rPr>
                <w:rFonts w:ascii="Calibri" w:hAnsi="Calibri"/>
                <w:b/>
              </w:rPr>
              <w:t xml:space="preserve"> des Gerichts</w:t>
            </w:r>
          </w:p>
        </w:tc>
        <w:tc>
          <w:tcPr>
            <w:tcW w:w="6957" w:type="dxa"/>
          </w:tcPr>
          <w:p w14:paraId="21684A44" w14:textId="70C52144" w:rsidR="00E97234" w:rsidRPr="00A33EE2" w:rsidRDefault="009270FA" w:rsidP="003C30FD">
            <w:pPr>
              <w:rPr>
                <w:rFonts w:ascii="Calibri" w:hAnsi="Calibri"/>
              </w:rPr>
            </w:pPr>
            <w:r>
              <w:rPr>
                <w:rFonts w:ascii="Calibri" w:hAnsi="Calibri"/>
              </w:rPr>
              <w:t>Du bist der*d</w:t>
            </w:r>
            <w:r w:rsidR="003C30FD">
              <w:rPr>
                <w:rFonts w:ascii="Calibri" w:hAnsi="Calibri"/>
              </w:rPr>
              <w:t>ie griechische Vertreter*in Frau/Herr Karamanlis des griechischen Gerichts.</w:t>
            </w:r>
            <w:r>
              <w:rPr>
                <w:rFonts w:ascii="Calibri" w:hAnsi="Calibri"/>
              </w:rPr>
              <w:t xml:space="preserve"> </w:t>
            </w:r>
            <w:r w:rsidR="003C30FD">
              <w:rPr>
                <w:rFonts w:ascii="Calibri" w:hAnsi="Calibri"/>
              </w:rPr>
              <w:t xml:space="preserve">Du findest, dass Frau </w:t>
            </w:r>
            <w:proofErr w:type="spellStart"/>
            <w:r w:rsidR="003C30FD">
              <w:rPr>
                <w:rFonts w:ascii="Calibri" w:hAnsi="Calibri"/>
              </w:rPr>
              <w:t>Calfa</w:t>
            </w:r>
            <w:proofErr w:type="spellEnd"/>
            <w:r w:rsidR="003C30FD">
              <w:rPr>
                <w:rFonts w:ascii="Calibri" w:hAnsi="Calibri"/>
              </w:rPr>
              <w:t xml:space="preserve"> </w:t>
            </w:r>
            <w:r w:rsidR="007220A4" w:rsidRPr="00A33EE2">
              <w:rPr>
                <w:rFonts w:ascii="Calibri" w:hAnsi="Calibri"/>
              </w:rPr>
              <w:t xml:space="preserve">eine schwere Straftat begangen </w:t>
            </w:r>
            <w:r w:rsidR="003C30FD">
              <w:rPr>
                <w:rFonts w:ascii="Calibri" w:hAnsi="Calibri"/>
              </w:rPr>
              <w:t xml:space="preserve">hat </w:t>
            </w:r>
            <w:r w:rsidR="007220A4" w:rsidRPr="00A33EE2">
              <w:rPr>
                <w:rFonts w:ascii="Calibri" w:hAnsi="Calibri"/>
              </w:rPr>
              <w:t xml:space="preserve">und </w:t>
            </w:r>
            <w:r w:rsidR="003C30FD">
              <w:rPr>
                <w:rFonts w:ascii="Calibri" w:hAnsi="Calibri"/>
              </w:rPr>
              <w:t xml:space="preserve">durch den Besitz und Konsum die Gesellschaft gefährdet hat, schließlich konsumiert man Drogen eher in Gruppen, vor allem im Urlaub. Sie sollte sich </w:t>
            </w:r>
            <w:r w:rsidR="007220A4" w:rsidRPr="00A33EE2">
              <w:rPr>
                <w:rFonts w:ascii="Calibri" w:hAnsi="Calibri"/>
              </w:rPr>
              <w:t xml:space="preserve">deshalb nicht wieder in Griechenland </w:t>
            </w:r>
            <w:r w:rsidR="003C30FD">
              <w:rPr>
                <w:rFonts w:ascii="Calibri" w:hAnsi="Calibri"/>
              </w:rPr>
              <w:t>aufhalten, um die Öffentlichkeit nicht zum Konsum anzuregen und dadurch die Gesundheit der Bevölkerung zu gefährden. Außerdem können selbst</w:t>
            </w:r>
            <w:r w:rsidR="007220A4" w:rsidRPr="00A33EE2">
              <w:rPr>
                <w:rFonts w:ascii="Calibri" w:hAnsi="Calibri"/>
              </w:rPr>
              <w:t xml:space="preserve"> </w:t>
            </w:r>
            <w:proofErr w:type="spellStart"/>
            <w:r w:rsidR="007220A4" w:rsidRPr="00A33EE2">
              <w:rPr>
                <w:rFonts w:ascii="Calibri" w:hAnsi="Calibri"/>
              </w:rPr>
              <w:t>Griech</w:t>
            </w:r>
            <w:proofErr w:type="spellEnd"/>
            <w:r w:rsidR="007220A4" w:rsidRPr="00A33EE2">
              <w:rPr>
                <w:rFonts w:ascii="Calibri" w:hAnsi="Calibri"/>
              </w:rPr>
              <w:t>*innen theoretisch Teilen des Landes</w:t>
            </w:r>
            <w:r w:rsidR="003C30FD">
              <w:rPr>
                <w:rFonts w:ascii="Calibri" w:hAnsi="Calibri"/>
              </w:rPr>
              <w:t xml:space="preserve"> bis zu fünf Jahre</w:t>
            </w:r>
            <w:r w:rsidR="007220A4" w:rsidRPr="00A33EE2">
              <w:rPr>
                <w:rFonts w:ascii="Calibri" w:hAnsi="Calibri"/>
              </w:rPr>
              <w:t xml:space="preserve"> verwiesen werden</w:t>
            </w:r>
            <w:r w:rsidR="003C30FD">
              <w:rPr>
                <w:rFonts w:ascii="Calibri" w:hAnsi="Calibri"/>
              </w:rPr>
              <w:t>, obwohl es ihr Heimatland ist.</w:t>
            </w:r>
          </w:p>
        </w:tc>
      </w:tr>
      <w:tr w:rsidR="00E97234" w:rsidRPr="00A33EE2" w14:paraId="6122B8B6" w14:textId="77777777" w:rsidTr="00E97234">
        <w:tc>
          <w:tcPr>
            <w:tcW w:w="2249" w:type="dxa"/>
          </w:tcPr>
          <w:p w14:paraId="496CF11D" w14:textId="4BD7CA13" w:rsidR="00E97234" w:rsidRPr="00A33EE2" w:rsidRDefault="00E97234" w:rsidP="00E97234">
            <w:pPr>
              <w:rPr>
                <w:rFonts w:ascii="Calibri" w:hAnsi="Calibri"/>
              </w:rPr>
            </w:pPr>
            <w:r w:rsidRPr="00A33EE2">
              <w:rPr>
                <w:rFonts w:ascii="Calibri" w:hAnsi="Calibri"/>
                <w:b/>
              </w:rPr>
              <w:t>Rollenkarte Richter*in</w:t>
            </w:r>
            <w:r w:rsidR="00D5069D">
              <w:rPr>
                <w:rFonts w:ascii="Calibri" w:hAnsi="Calibri"/>
                <w:b/>
              </w:rPr>
              <w:t xml:space="preserve"> Iglesias</w:t>
            </w:r>
          </w:p>
        </w:tc>
        <w:tc>
          <w:tcPr>
            <w:tcW w:w="6957" w:type="dxa"/>
          </w:tcPr>
          <w:p w14:paraId="736ABEB2" w14:textId="2B79252A" w:rsidR="00E97234" w:rsidRPr="00A33EE2" w:rsidRDefault="00D5069D" w:rsidP="00D5069D">
            <w:pPr>
              <w:rPr>
                <w:rFonts w:ascii="Calibri" w:hAnsi="Calibri"/>
              </w:rPr>
            </w:pPr>
            <w:r w:rsidRPr="00A33EE2">
              <w:rPr>
                <w:rFonts w:ascii="Calibri" w:hAnsi="Calibri"/>
              </w:rPr>
              <w:t xml:space="preserve">Du bist </w:t>
            </w:r>
            <w:r>
              <w:rPr>
                <w:rFonts w:ascii="Calibri" w:hAnsi="Calibri"/>
              </w:rPr>
              <w:t>Frau/Herr</w:t>
            </w:r>
            <w:r w:rsidRPr="00A33EE2">
              <w:rPr>
                <w:rFonts w:ascii="Calibri" w:hAnsi="Calibri"/>
              </w:rPr>
              <w:t xml:space="preserve"> </w:t>
            </w:r>
            <w:r>
              <w:rPr>
                <w:rFonts w:ascii="Calibri" w:hAnsi="Calibri"/>
              </w:rPr>
              <w:t>Iglesias</w:t>
            </w:r>
            <w:r w:rsidRPr="00A33EE2">
              <w:rPr>
                <w:rFonts w:ascii="Calibri" w:hAnsi="Calibri"/>
              </w:rPr>
              <w:t xml:space="preserve"> und arbeitest als Richter</w:t>
            </w:r>
            <w:r>
              <w:rPr>
                <w:rFonts w:ascii="Calibri" w:hAnsi="Calibri"/>
              </w:rPr>
              <w:t>*</w:t>
            </w:r>
            <w:r w:rsidRPr="00A33EE2">
              <w:rPr>
                <w:rFonts w:ascii="Calibri" w:hAnsi="Calibri"/>
              </w:rPr>
              <w:t>in am Europäischen Gerichtshof. Du hörst dir beide Positionen an. Fälle eine Entscheidung!</w:t>
            </w:r>
          </w:p>
        </w:tc>
      </w:tr>
      <w:tr w:rsidR="00E97234" w:rsidRPr="00A33EE2" w14:paraId="06AD96EE" w14:textId="77777777" w:rsidTr="00E97234">
        <w:tc>
          <w:tcPr>
            <w:tcW w:w="2249" w:type="dxa"/>
          </w:tcPr>
          <w:p w14:paraId="0C14F650" w14:textId="77777777" w:rsidR="00E97234" w:rsidRPr="00A33EE2" w:rsidRDefault="00E97234" w:rsidP="00E97234">
            <w:pPr>
              <w:rPr>
                <w:rFonts w:ascii="Calibri" w:hAnsi="Calibri"/>
              </w:rPr>
            </w:pPr>
            <w:r w:rsidRPr="00A33EE2">
              <w:rPr>
                <w:rFonts w:ascii="Calibri" w:hAnsi="Calibri"/>
                <w:b/>
              </w:rPr>
              <w:t>EuGH-Entscheidung in der Realität</w:t>
            </w:r>
          </w:p>
        </w:tc>
        <w:tc>
          <w:tcPr>
            <w:tcW w:w="6957" w:type="dxa"/>
          </w:tcPr>
          <w:p w14:paraId="1C1903A5" w14:textId="7950CB47" w:rsidR="00E97234" w:rsidRPr="00A33EE2" w:rsidRDefault="00E97234" w:rsidP="00E97234">
            <w:pPr>
              <w:jc w:val="both"/>
              <w:rPr>
                <w:rFonts w:ascii="Calibri" w:hAnsi="Calibri"/>
              </w:rPr>
            </w:pPr>
            <w:r w:rsidRPr="00A33EE2">
              <w:rPr>
                <w:rFonts w:ascii="Calibri" w:hAnsi="Calibri"/>
              </w:rPr>
              <w:t>Der EuGH hält</w:t>
            </w:r>
            <w:r w:rsidR="003C30FD">
              <w:rPr>
                <w:rFonts w:ascii="Calibri" w:hAnsi="Calibri"/>
              </w:rPr>
              <w:t xml:space="preserve"> 1999</w:t>
            </w:r>
            <w:r w:rsidRPr="00A33EE2">
              <w:rPr>
                <w:rFonts w:ascii="Calibri" w:hAnsi="Calibri"/>
              </w:rPr>
              <w:t xml:space="preserve"> fest, dass es nicht rechtens ist, ein*e Unionsbürger*in lebenslänglich des Landes zu verweisen, solange die Gesellschaft durch diese Person nicht gefährdet wird.</w:t>
            </w:r>
            <w:r w:rsidR="00D364ED">
              <w:rPr>
                <w:rFonts w:ascii="Calibri" w:hAnsi="Calibri"/>
              </w:rPr>
              <w:t xml:space="preserve"> Damit gibt er Frau </w:t>
            </w:r>
            <w:proofErr w:type="spellStart"/>
            <w:r w:rsidR="00D364ED">
              <w:rPr>
                <w:rFonts w:ascii="Calibri" w:hAnsi="Calibri"/>
              </w:rPr>
              <w:t>Calfa</w:t>
            </w:r>
            <w:proofErr w:type="spellEnd"/>
            <w:r w:rsidR="00D364ED">
              <w:rPr>
                <w:rFonts w:ascii="Calibri" w:hAnsi="Calibri"/>
              </w:rPr>
              <w:t xml:space="preserve"> </w:t>
            </w:r>
            <w:r w:rsidR="003C30FD">
              <w:rPr>
                <w:rFonts w:ascii="Calibri" w:hAnsi="Calibri"/>
              </w:rPr>
              <w:t>recht.</w:t>
            </w:r>
            <w:r w:rsidRPr="00A33EE2">
              <w:rPr>
                <w:rFonts w:ascii="Calibri" w:hAnsi="Calibri"/>
              </w:rPr>
              <w:t xml:space="preserve"> In diesem Fall waren die gesundheitsgefährdenden Güter, welche die Italienerin besaß, nur für den Eigengebrauch vorgesehen. Dementsprechend muss Griechenland die länderdiskriminierende nationale Regelung zur Bestrafung von Ausländer*innen zumindest für EU-Bürger*innen aufheben.</w:t>
            </w:r>
          </w:p>
        </w:tc>
      </w:tr>
    </w:tbl>
    <w:p w14:paraId="7DD724C9" w14:textId="77777777" w:rsidR="00735D34" w:rsidRDefault="00735D34">
      <w:pPr>
        <w:rPr>
          <w:rFonts w:ascii="Calibri" w:hAnsi="Calibri"/>
        </w:rPr>
      </w:pPr>
    </w:p>
    <w:p w14:paraId="2DF0E38B" w14:textId="77777777" w:rsidR="003C30FD" w:rsidRDefault="003C30FD">
      <w:pPr>
        <w:rPr>
          <w:rFonts w:ascii="Calibri" w:hAnsi="Calibri"/>
        </w:rPr>
      </w:pPr>
    </w:p>
    <w:p w14:paraId="57BE17ED" w14:textId="77777777" w:rsidR="003C30FD" w:rsidRPr="00A33EE2" w:rsidRDefault="003C30FD">
      <w:pPr>
        <w:rPr>
          <w:rFonts w:ascii="Calibri" w:hAnsi="Calibri"/>
        </w:rPr>
      </w:pPr>
    </w:p>
    <w:tbl>
      <w:tblPr>
        <w:tblStyle w:val="Tabellenraster"/>
        <w:tblW w:w="0" w:type="auto"/>
        <w:tblLook w:val="04A0" w:firstRow="1" w:lastRow="0" w:firstColumn="1" w:lastColumn="0" w:noHBand="0" w:noVBand="1"/>
      </w:tblPr>
      <w:tblGrid>
        <w:gridCol w:w="2249"/>
        <w:gridCol w:w="6957"/>
      </w:tblGrid>
      <w:tr w:rsidR="0053132F" w:rsidRPr="00A33EE2" w14:paraId="4E567891" w14:textId="77777777" w:rsidTr="008E4C61">
        <w:tc>
          <w:tcPr>
            <w:tcW w:w="9206" w:type="dxa"/>
            <w:gridSpan w:val="2"/>
          </w:tcPr>
          <w:p w14:paraId="07A7E059" w14:textId="2F2EBB1E" w:rsidR="0053132F" w:rsidRPr="00A33EE2" w:rsidRDefault="0053132F" w:rsidP="001635D7">
            <w:pPr>
              <w:rPr>
                <w:rFonts w:ascii="Calibri" w:hAnsi="Calibri"/>
                <w:sz w:val="28"/>
              </w:rPr>
            </w:pPr>
            <w:r w:rsidRPr="00A33EE2">
              <w:rPr>
                <w:rFonts w:ascii="Calibri" w:hAnsi="Calibri"/>
                <w:sz w:val="28"/>
              </w:rPr>
              <w:t>Piloten – Altersdiskriminierung?</w:t>
            </w:r>
            <w:r w:rsidR="001635D7" w:rsidRPr="00A33EE2">
              <w:rPr>
                <w:rFonts w:ascii="Calibri" w:hAnsi="Calibri"/>
                <w:sz w:val="28"/>
              </w:rPr>
              <w:t xml:space="preserve"> </w:t>
            </w:r>
          </w:p>
        </w:tc>
      </w:tr>
      <w:tr w:rsidR="0053132F" w:rsidRPr="00A33EE2" w14:paraId="53DDBC96" w14:textId="77777777" w:rsidTr="008E4C61">
        <w:tc>
          <w:tcPr>
            <w:tcW w:w="2249" w:type="dxa"/>
          </w:tcPr>
          <w:p w14:paraId="665C4264" w14:textId="77777777" w:rsidR="0053132F" w:rsidRPr="00A33EE2" w:rsidRDefault="0053132F" w:rsidP="008E4C61">
            <w:pPr>
              <w:rPr>
                <w:rFonts w:ascii="Calibri" w:hAnsi="Calibri"/>
              </w:rPr>
            </w:pPr>
            <w:r w:rsidRPr="00A33EE2">
              <w:rPr>
                <w:rFonts w:ascii="Calibri" w:hAnsi="Calibri"/>
                <w:b/>
              </w:rPr>
              <w:t>Ausgangssituation</w:t>
            </w:r>
          </w:p>
        </w:tc>
        <w:tc>
          <w:tcPr>
            <w:tcW w:w="6957" w:type="dxa"/>
          </w:tcPr>
          <w:p w14:paraId="7C6BEFDC" w14:textId="155E09E4" w:rsidR="0053132F" w:rsidRPr="00A33EE2" w:rsidRDefault="0053132F" w:rsidP="00521AB2">
            <w:pPr>
              <w:jc w:val="both"/>
              <w:rPr>
                <w:rFonts w:ascii="Calibri" w:hAnsi="Calibri"/>
              </w:rPr>
            </w:pPr>
            <w:r w:rsidRPr="00A33EE2">
              <w:rPr>
                <w:rFonts w:ascii="Calibri" w:hAnsi="Calibri"/>
              </w:rPr>
              <w:t xml:space="preserve">Der deutsche Pilot Werner Fries arbeitete bei der Lufthansa </w:t>
            </w:r>
            <w:proofErr w:type="spellStart"/>
            <w:r w:rsidRPr="00A33EE2">
              <w:rPr>
                <w:rFonts w:ascii="Calibri" w:hAnsi="Calibri"/>
              </w:rPr>
              <w:t>CityLine</w:t>
            </w:r>
            <w:proofErr w:type="spellEnd"/>
            <w:r w:rsidRPr="00A33EE2">
              <w:rPr>
                <w:rFonts w:ascii="Calibri" w:hAnsi="Calibri"/>
              </w:rPr>
              <w:t xml:space="preserve"> GmbH, als er im Oktober 2013 65 Jahre alt wurde und ab dann nicht mehr von der Lufthansa </w:t>
            </w:r>
            <w:proofErr w:type="spellStart"/>
            <w:r w:rsidRPr="00A33EE2">
              <w:rPr>
                <w:rFonts w:ascii="Calibri" w:hAnsi="Calibri"/>
              </w:rPr>
              <w:t>CityLine</w:t>
            </w:r>
            <w:proofErr w:type="spellEnd"/>
            <w:r w:rsidRPr="00A33EE2">
              <w:rPr>
                <w:rFonts w:ascii="Calibri" w:hAnsi="Calibri"/>
              </w:rPr>
              <w:t xml:space="preserve"> im Flugverkehr beschäftigt wurde</w:t>
            </w:r>
            <w:r w:rsidR="00D35DA7">
              <w:rPr>
                <w:rFonts w:ascii="Calibri" w:hAnsi="Calibri"/>
              </w:rPr>
              <w:t>, da er zu alt sei</w:t>
            </w:r>
            <w:r w:rsidRPr="00A33EE2">
              <w:rPr>
                <w:rFonts w:ascii="Calibri" w:hAnsi="Calibri"/>
              </w:rPr>
              <w:t>. Sein Arbeitsvertrag lief allerdings</w:t>
            </w:r>
            <w:r w:rsidR="00D35DA7">
              <w:rPr>
                <w:rFonts w:ascii="Calibri" w:hAnsi="Calibri"/>
              </w:rPr>
              <w:t xml:space="preserve"> eigentlich</w:t>
            </w:r>
            <w:r w:rsidRPr="00A33EE2">
              <w:rPr>
                <w:rFonts w:ascii="Calibri" w:hAnsi="Calibri"/>
              </w:rPr>
              <w:t xml:space="preserve"> noch zwei Monate länger. Er fühlt</w:t>
            </w:r>
            <w:r w:rsidR="00D35DA7">
              <w:rPr>
                <w:rFonts w:ascii="Calibri" w:hAnsi="Calibri"/>
              </w:rPr>
              <w:t>e</w:t>
            </w:r>
            <w:r w:rsidRPr="00A33EE2">
              <w:rPr>
                <w:rFonts w:ascii="Calibri" w:hAnsi="Calibri"/>
              </w:rPr>
              <w:t xml:space="preserve"> sich aufgrund seines Alters unrechtmäßig</w:t>
            </w:r>
            <w:r w:rsidR="00D35DA7">
              <w:rPr>
                <w:rFonts w:ascii="Calibri" w:hAnsi="Calibri"/>
              </w:rPr>
              <w:t xml:space="preserve"> durch die Regelungen der Lufthansa</w:t>
            </w:r>
            <w:r w:rsidRPr="00A33EE2">
              <w:rPr>
                <w:rFonts w:ascii="Calibri" w:hAnsi="Calibri"/>
              </w:rPr>
              <w:t xml:space="preserve"> diskriminiert.</w:t>
            </w:r>
            <w:r w:rsidR="00D35DA7">
              <w:rPr>
                <w:rFonts w:ascii="Calibri" w:hAnsi="Calibri"/>
              </w:rPr>
              <w:t xml:space="preserve"> Das macht</w:t>
            </w:r>
            <w:r w:rsidR="00521AB2">
              <w:rPr>
                <w:rFonts w:ascii="Calibri" w:hAnsi="Calibri"/>
              </w:rPr>
              <w:t>e</w:t>
            </w:r>
            <w:r w:rsidR="00D35DA7">
              <w:rPr>
                <w:rFonts w:ascii="Calibri" w:hAnsi="Calibri"/>
              </w:rPr>
              <w:t xml:space="preserve"> er vor dem Bundesarbeitsgericht geltend. Diese wiederum leg</w:t>
            </w:r>
            <w:r w:rsidR="00521AB2">
              <w:rPr>
                <w:rFonts w:ascii="Calibri" w:hAnsi="Calibri"/>
              </w:rPr>
              <w:t>t</w:t>
            </w:r>
            <w:r w:rsidR="00D35DA7">
              <w:rPr>
                <w:rFonts w:ascii="Calibri" w:hAnsi="Calibri"/>
              </w:rPr>
              <w:t>en die Frage dem EuGH zur Vorabentscheidung vor.</w:t>
            </w:r>
          </w:p>
        </w:tc>
      </w:tr>
      <w:tr w:rsidR="0053132F" w:rsidRPr="00A33EE2" w14:paraId="468A1E71" w14:textId="77777777" w:rsidTr="008E4C61">
        <w:tc>
          <w:tcPr>
            <w:tcW w:w="2249" w:type="dxa"/>
          </w:tcPr>
          <w:p w14:paraId="7C98B575" w14:textId="77777777" w:rsidR="0053132F" w:rsidRPr="00A33EE2" w:rsidRDefault="0053132F" w:rsidP="008E4C61">
            <w:pPr>
              <w:rPr>
                <w:rFonts w:ascii="Calibri" w:hAnsi="Calibri"/>
                <w:b/>
              </w:rPr>
            </w:pPr>
            <w:r w:rsidRPr="00A33EE2">
              <w:rPr>
                <w:rFonts w:ascii="Calibri" w:hAnsi="Calibri"/>
                <w:b/>
              </w:rPr>
              <w:t xml:space="preserve">Rollenkarte </w:t>
            </w:r>
          </w:p>
          <w:p w14:paraId="09764A16" w14:textId="794A2D3B" w:rsidR="0053132F" w:rsidRPr="00A33EE2" w:rsidRDefault="0053132F" w:rsidP="008E4C61">
            <w:pPr>
              <w:rPr>
                <w:rFonts w:ascii="Calibri" w:hAnsi="Calibri"/>
              </w:rPr>
            </w:pPr>
            <w:r w:rsidRPr="00A33EE2">
              <w:rPr>
                <w:rFonts w:ascii="Calibri" w:hAnsi="Calibri"/>
                <w:b/>
              </w:rPr>
              <w:t>Werner Fries</w:t>
            </w:r>
          </w:p>
        </w:tc>
        <w:tc>
          <w:tcPr>
            <w:tcW w:w="6957" w:type="dxa"/>
          </w:tcPr>
          <w:p w14:paraId="1A04D5C8" w14:textId="5DE714B8" w:rsidR="0053132F" w:rsidRPr="00A33EE2" w:rsidRDefault="00D35DA7" w:rsidP="00521AB2">
            <w:pPr>
              <w:jc w:val="both"/>
              <w:rPr>
                <w:rFonts w:ascii="Calibri" w:hAnsi="Calibri"/>
              </w:rPr>
            </w:pPr>
            <w:r>
              <w:rPr>
                <w:rFonts w:ascii="Calibri" w:hAnsi="Calibri"/>
              </w:rPr>
              <w:t>Du bist der deutsche Staatsbürger Werner Fries. Du kannst es nicht fassen, dass du die letzten zwei Monate deines Arbeitsvertrags nicht mehr fliegen durftest, nur weil du im Oktober</w:t>
            </w:r>
            <w:r w:rsidR="00C3716A">
              <w:rPr>
                <w:rFonts w:ascii="Calibri" w:hAnsi="Calibri"/>
              </w:rPr>
              <w:t xml:space="preserve"> auf dem Papier</w:t>
            </w:r>
            <w:r>
              <w:rPr>
                <w:rFonts w:ascii="Calibri" w:hAnsi="Calibri"/>
              </w:rPr>
              <w:t xml:space="preserve"> 65 Jahre alt wurdest.</w:t>
            </w:r>
            <w:r w:rsidR="00C3716A">
              <w:rPr>
                <w:rFonts w:ascii="Calibri" w:hAnsi="Calibri"/>
              </w:rPr>
              <w:t xml:space="preserve"> Du</w:t>
            </w:r>
            <w:r w:rsidR="0053132F" w:rsidRPr="00A33EE2">
              <w:rPr>
                <w:rFonts w:ascii="Calibri" w:hAnsi="Calibri"/>
              </w:rPr>
              <w:t xml:space="preserve"> hätte</w:t>
            </w:r>
            <w:r w:rsidR="00C3716A">
              <w:rPr>
                <w:rFonts w:ascii="Calibri" w:hAnsi="Calibri"/>
              </w:rPr>
              <w:t>st d</w:t>
            </w:r>
            <w:r w:rsidR="0053132F" w:rsidRPr="00A33EE2">
              <w:rPr>
                <w:rFonts w:ascii="Calibri" w:hAnsi="Calibri"/>
              </w:rPr>
              <w:t xml:space="preserve">ich auch </w:t>
            </w:r>
            <w:r w:rsidR="00C3716A">
              <w:rPr>
                <w:rFonts w:ascii="Calibri" w:hAnsi="Calibri"/>
              </w:rPr>
              <w:t xml:space="preserve">wenn nötig </w:t>
            </w:r>
            <w:r w:rsidR="0053132F" w:rsidRPr="00A33EE2">
              <w:rPr>
                <w:rFonts w:ascii="Calibri" w:hAnsi="Calibri"/>
              </w:rPr>
              <w:t>einer ärztlichen Untersuchung unterzogen</w:t>
            </w:r>
            <w:r w:rsidR="00C3716A">
              <w:rPr>
                <w:rFonts w:ascii="Calibri" w:hAnsi="Calibri"/>
              </w:rPr>
              <w:t>,</w:t>
            </w:r>
            <w:r w:rsidR="0053132F" w:rsidRPr="00A33EE2">
              <w:rPr>
                <w:rFonts w:ascii="Calibri" w:hAnsi="Calibri"/>
              </w:rPr>
              <w:t xml:space="preserve"> </w:t>
            </w:r>
            <w:r w:rsidR="00C3716A">
              <w:rPr>
                <w:rFonts w:ascii="Calibri" w:hAnsi="Calibri"/>
              </w:rPr>
              <w:t xml:space="preserve">um deine Flugfähigkeit für die letzten zwei Monate vor Rentenbeginn prüfen zu lassen. </w:t>
            </w:r>
          </w:p>
        </w:tc>
      </w:tr>
      <w:tr w:rsidR="0053132F" w:rsidRPr="00A33EE2" w14:paraId="76046C1A" w14:textId="77777777" w:rsidTr="008E4C61">
        <w:tc>
          <w:tcPr>
            <w:tcW w:w="2249" w:type="dxa"/>
          </w:tcPr>
          <w:p w14:paraId="3BBEA526" w14:textId="3989B5D1" w:rsidR="0053132F" w:rsidRPr="00A33EE2" w:rsidRDefault="0053132F" w:rsidP="0053132F">
            <w:pPr>
              <w:rPr>
                <w:rFonts w:ascii="Calibri" w:hAnsi="Calibri"/>
              </w:rPr>
            </w:pPr>
            <w:r w:rsidRPr="00A33EE2">
              <w:rPr>
                <w:rFonts w:ascii="Calibri" w:hAnsi="Calibri"/>
                <w:b/>
              </w:rPr>
              <w:t>Rollenkarte Vertreter</w:t>
            </w:r>
            <w:r w:rsidR="00C3716A">
              <w:rPr>
                <w:rFonts w:ascii="Calibri" w:hAnsi="Calibri"/>
                <w:b/>
              </w:rPr>
              <w:t>*in</w:t>
            </w:r>
            <w:r w:rsidRPr="00A33EE2">
              <w:rPr>
                <w:rFonts w:ascii="Calibri" w:hAnsi="Calibri"/>
                <w:b/>
              </w:rPr>
              <w:t xml:space="preserve"> </w:t>
            </w:r>
            <w:r w:rsidR="00C3716A">
              <w:rPr>
                <w:rFonts w:ascii="Calibri" w:hAnsi="Calibri"/>
                <w:b/>
              </w:rPr>
              <w:t xml:space="preserve">Stein der </w:t>
            </w:r>
            <w:r w:rsidRPr="00A33EE2">
              <w:rPr>
                <w:rFonts w:ascii="Calibri" w:hAnsi="Calibri"/>
                <w:b/>
              </w:rPr>
              <w:t>Lufthansa GmbH</w:t>
            </w:r>
          </w:p>
        </w:tc>
        <w:tc>
          <w:tcPr>
            <w:tcW w:w="6957" w:type="dxa"/>
          </w:tcPr>
          <w:p w14:paraId="1BD28351" w14:textId="3FCA1D4F" w:rsidR="0053132F" w:rsidRPr="00A33EE2" w:rsidRDefault="00C3716A" w:rsidP="00521AB2">
            <w:pPr>
              <w:jc w:val="both"/>
              <w:rPr>
                <w:rFonts w:ascii="Calibri" w:hAnsi="Calibri"/>
              </w:rPr>
            </w:pPr>
            <w:r>
              <w:rPr>
                <w:rFonts w:ascii="Calibri" w:hAnsi="Calibri"/>
              </w:rPr>
              <w:t xml:space="preserve">Du bist Frau/Herr Stein der Lufthansa GmbH und für das Personal zuständig. Herr Fries wurde 65 Jahre alt und es ist eine im Völkerrecht verankerte Altersgrenze für Pilot*innen des gewerblichen Flugverkehrs. Auch wenn Herr Fries noch zwei Monate länger körperlich fit </w:t>
            </w:r>
            <w:r w:rsidR="00521AB2">
              <w:rPr>
                <w:rFonts w:ascii="Calibri" w:hAnsi="Calibri"/>
              </w:rPr>
              <w:t>gewesen wäre</w:t>
            </w:r>
            <w:r>
              <w:rPr>
                <w:rFonts w:ascii="Calibri" w:hAnsi="Calibri"/>
              </w:rPr>
              <w:t xml:space="preserve">, kann sich die Lufthansa einen Gesundheitscheck aller Pilot*innen über 65 Jahren </w:t>
            </w:r>
            <w:r w:rsidR="00521AB2">
              <w:rPr>
                <w:rFonts w:ascii="Calibri" w:hAnsi="Calibri"/>
              </w:rPr>
              <w:t xml:space="preserve">schlicht </w:t>
            </w:r>
            <w:r>
              <w:rPr>
                <w:rFonts w:ascii="Calibri" w:hAnsi="Calibri"/>
              </w:rPr>
              <w:t>nicht leisten, sodass die Altersgrenze für alle direkt gilt.</w:t>
            </w:r>
            <w:r w:rsidR="0053132F" w:rsidRPr="00A33EE2">
              <w:rPr>
                <w:rFonts w:ascii="Calibri" w:hAnsi="Calibri"/>
              </w:rPr>
              <w:t xml:space="preserve"> </w:t>
            </w:r>
            <w:r>
              <w:rPr>
                <w:rFonts w:ascii="Calibri" w:hAnsi="Calibri"/>
              </w:rPr>
              <w:t>Außerdem könn</w:t>
            </w:r>
            <w:r w:rsidR="005A5CF4">
              <w:rPr>
                <w:rFonts w:ascii="Calibri" w:hAnsi="Calibri"/>
              </w:rPr>
              <w:t>t</w:t>
            </w:r>
            <w:r>
              <w:rPr>
                <w:rFonts w:ascii="Calibri" w:hAnsi="Calibri"/>
              </w:rPr>
              <w:t xml:space="preserve">en bei der </w:t>
            </w:r>
            <w:r w:rsidR="005A5CF4">
              <w:rPr>
                <w:rFonts w:ascii="Calibri" w:hAnsi="Calibri"/>
              </w:rPr>
              <w:t xml:space="preserve">ärztlichen </w:t>
            </w:r>
            <w:r>
              <w:rPr>
                <w:rFonts w:ascii="Calibri" w:hAnsi="Calibri"/>
              </w:rPr>
              <w:t>Untersuchung Fehler passieren, die wiederum viele Menschenleben gefährden würde</w:t>
            </w:r>
            <w:r w:rsidR="005A5CF4">
              <w:rPr>
                <w:rFonts w:ascii="Calibri" w:hAnsi="Calibri"/>
              </w:rPr>
              <w:t>n</w:t>
            </w:r>
            <w:r>
              <w:rPr>
                <w:rFonts w:ascii="Calibri" w:hAnsi="Calibri"/>
              </w:rPr>
              <w:t xml:space="preserve">. </w:t>
            </w:r>
            <w:r w:rsidR="0053132F" w:rsidRPr="00A33EE2">
              <w:rPr>
                <w:rFonts w:ascii="Calibri" w:hAnsi="Calibri"/>
              </w:rPr>
              <w:t xml:space="preserve">65 Jahre ist </w:t>
            </w:r>
            <w:r>
              <w:rPr>
                <w:rFonts w:ascii="Calibri" w:hAnsi="Calibri"/>
              </w:rPr>
              <w:t xml:space="preserve">eine </w:t>
            </w:r>
            <w:r w:rsidR="0053132F" w:rsidRPr="00A33EE2">
              <w:rPr>
                <w:rFonts w:ascii="Calibri" w:hAnsi="Calibri"/>
              </w:rPr>
              <w:t xml:space="preserve">gerechtfertigte Altersgrenze für </w:t>
            </w:r>
            <w:r>
              <w:rPr>
                <w:rFonts w:ascii="Calibri" w:hAnsi="Calibri"/>
              </w:rPr>
              <w:t xml:space="preserve">die </w:t>
            </w:r>
            <w:r w:rsidR="0053132F" w:rsidRPr="00A33EE2">
              <w:rPr>
                <w:rFonts w:ascii="Calibri" w:hAnsi="Calibri"/>
              </w:rPr>
              <w:t>Sicherheit der Fluggäste, wenn man die Abnahme der körperlichen Fähigkeiten im Alter betrachtet</w:t>
            </w:r>
            <w:r>
              <w:rPr>
                <w:rFonts w:ascii="Calibri" w:hAnsi="Calibri"/>
              </w:rPr>
              <w:t>.</w:t>
            </w:r>
          </w:p>
        </w:tc>
      </w:tr>
      <w:tr w:rsidR="0053132F" w:rsidRPr="00A33EE2" w14:paraId="346313FD" w14:textId="77777777" w:rsidTr="008E4C61">
        <w:tc>
          <w:tcPr>
            <w:tcW w:w="2249" w:type="dxa"/>
          </w:tcPr>
          <w:p w14:paraId="22B40BB2" w14:textId="4559AA13" w:rsidR="0053132F" w:rsidRPr="00A33EE2" w:rsidRDefault="0053132F" w:rsidP="008E4C61">
            <w:pPr>
              <w:rPr>
                <w:rFonts w:ascii="Calibri" w:hAnsi="Calibri"/>
              </w:rPr>
            </w:pPr>
            <w:r w:rsidRPr="00A33EE2">
              <w:rPr>
                <w:rFonts w:ascii="Calibri" w:hAnsi="Calibri"/>
                <w:b/>
              </w:rPr>
              <w:t>Rollenkarte Richter*in</w:t>
            </w:r>
            <w:r w:rsidR="00C3716A">
              <w:rPr>
                <w:rFonts w:ascii="Calibri" w:hAnsi="Calibri"/>
                <w:b/>
              </w:rPr>
              <w:t xml:space="preserve"> </w:t>
            </w:r>
            <w:proofErr w:type="spellStart"/>
            <w:r w:rsidR="00C3716A">
              <w:rPr>
                <w:rFonts w:ascii="Calibri" w:hAnsi="Calibri"/>
                <w:b/>
              </w:rPr>
              <w:t>Regan</w:t>
            </w:r>
            <w:proofErr w:type="spellEnd"/>
          </w:p>
        </w:tc>
        <w:tc>
          <w:tcPr>
            <w:tcW w:w="6957" w:type="dxa"/>
          </w:tcPr>
          <w:p w14:paraId="70317504" w14:textId="49FEF0FE" w:rsidR="0053132F" w:rsidRPr="00A33EE2" w:rsidRDefault="00C3716A" w:rsidP="00521AB2">
            <w:pPr>
              <w:jc w:val="both"/>
              <w:rPr>
                <w:rFonts w:ascii="Calibri" w:hAnsi="Calibri"/>
              </w:rPr>
            </w:pPr>
            <w:r w:rsidRPr="00A33EE2">
              <w:rPr>
                <w:rFonts w:ascii="Calibri" w:hAnsi="Calibri"/>
              </w:rPr>
              <w:t xml:space="preserve">Du bist </w:t>
            </w:r>
            <w:r>
              <w:rPr>
                <w:rFonts w:ascii="Calibri" w:hAnsi="Calibri"/>
              </w:rPr>
              <w:t>Frau/Herr</w:t>
            </w:r>
            <w:r w:rsidRPr="00A33EE2">
              <w:rPr>
                <w:rFonts w:ascii="Calibri" w:hAnsi="Calibri"/>
              </w:rPr>
              <w:t xml:space="preserve"> </w:t>
            </w:r>
            <w:proofErr w:type="spellStart"/>
            <w:r>
              <w:rPr>
                <w:rFonts w:ascii="Calibri" w:hAnsi="Calibri"/>
              </w:rPr>
              <w:t>Regan</w:t>
            </w:r>
            <w:proofErr w:type="spellEnd"/>
            <w:r w:rsidRPr="00A33EE2">
              <w:rPr>
                <w:rFonts w:ascii="Calibri" w:hAnsi="Calibri"/>
              </w:rPr>
              <w:t xml:space="preserve"> und arbeitest als Richter</w:t>
            </w:r>
            <w:r>
              <w:rPr>
                <w:rFonts w:ascii="Calibri" w:hAnsi="Calibri"/>
              </w:rPr>
              <w:t>*</w:t>
            </w:r>
            <w:r w:rsidRPr="00A33EE2">
              <w:rPr>
                <w:rFonts w:ascii="Calibri" w:hAnsi="Calibri"/>
              </w:rPr>
              <w:t>in am Europäischen Gerichtshof. Du hörst dir beide Positionen an. Fälle eine Entscheidung!</w:t>
            </w:r>
          </w:p>
        </w:tc>
      </w:tr>
      <w:tr w:rsidR="0053132F" w:rsidRPr="00A33EE2" w14:paraId="586CF29E" w14:textId="77777777" w:rsidTr="008E4C61">
        <w:tc>
          <w:tcPr>
            <w:tcW w:w="2249" w:type="dxa"/>
          </w:tcPr>
          <w:p w14:paraId="58029C5D" w14:textId="77777777" w:rsidR="0053132F" w:rsidRPr="00A33EE2" w:rsidRDefault="0053132F" w:rsidP="008E4C61">
            <w:pPr>
              <w:rPr>
                <w:rFonts w:ascii="Calibri" w:hAnsi="Calibri"/>
              </w:rPr>
            </w:pPr>
            <w:r w:rsidRPr="00A33EE2">
              <w:rPr>
                <w:rFonts w:ascii="Calibri" w:hAnsi="Calibri"/>
                <w:b/>
              </w:rPr>
              <w:t>EuGH-Entscheidung in der Realität</w:t>
            </w:r>
          </w:p>
        </w:tc>
        <w:tc>
          <w:tcPr>
            <w:tcW w:w="6957" w:type="dxa"/>
          </w:tcPr>
          <w:p w14:paraId="77357240" w14:textId="624DC340" w:rsidR="0053132F" w:rsidRPr="00A33EE2" w:rsidRDefault="0053132F" w:rsidP="00521AB2">
            <w:pPr>
              <w:jc w:val="both"/>
              <w:rPr>
                <w:rFonts w:ascii="Calibri" w:hAnsi="Calibri"/>
              </w:rPr>
            </w:pPr>
            <w:r w:rsidRPr="00A33EE2">
              <w:rPr>
                <w:rFonts w:ascii="Calibri" w:hAnsi="Calibri"/>
              </w:rPr>
              <w:t xml:space="preserve">Der EuGH fällt 2017 die Entscheidung, dass die Altersgrenze gültig </w:t>
            </w:r>
            <w:r w:rsidR="00C3716A">
              <w:rPr>
                <w:rFonts w:ascii="Calibri" w:hAnsi="Calibri"/>
              </w:rPr>
              <w:t>sei,</w:t>
            </w:r>
            <w:r w:rsidRPr="00A33EE2">
              <w:rPr>
                <w:rFonts w:ascii="Calibri" w:hAnsi="Calibri"/>
              </w:rPr>
              <w:t xml:space="preserve"> obwohl sie eine Ungleichbehandlung wegen des Alters darstelle.</w:t>
            </w:r>
            <w:r w:rsidR="00C3716A">
              <w:rPr>
                <w:rFonts w:ascii="Calibri" w:hAnsi="Calibri"/>
              </w:rPr>
              <w:t xml:space="preserve"> Somit erhält die Lufthansa recht.</w:t>
            </w:r>
            <w:r w:rsidRPr="00A33EE2">
              <w:rPr>
                <w:rFonts w:ascii="Calibri" w:hAnsi="Calibri"/>
              </w:rPr>
              <w:t xml:space="preserve"> </w:t>
            </w:r>
            <w:r w:rsidR="00C3716A">
              <w:rPr>
                <w:rFonts w:ascii="Calibri" w:hAnsi="Calibri"/>
              </w:rPr>
              <w:t>Die Grenze</w:t>
            </w:r>
            <w:r w:rsidRPr="00A33EE2">
              <w:rPr>
                <w:rFonts w:ascii="Calibri" w:hAnsi="Calibri"/>
              </w:rPr>
              <w:t xml:space="preserve"> diene dem Ziel der Gewährleistung der Sicherheit der Zivilluftfahrt in Europa und das hohe Alter sei auch verhältnismäßig und in völkerrechtlichen Vorschriften wiederzufinden. </w:t>
            </w:r>
          </w:p>
        </w:tc>
      </w:tr>
    </w:tbl>
    <w:p w14:paraId="577D941C" w14:textId="77777777" w:rsidR="0053132F" w:rsidRPr="00A33EE2" w:rsidRDefault="0053132F">
      <w:pPr>
        <w:rPr>
          <w:rFonts w:ascii="Calibri" w:hAnsi="Calibri"/>
        </w:rPr>
      </w:pPr>
    </w:p>
    <w:p w14:paraId="065A4210" w14:textId="77777777" w:rsidR="00111F08" w:rsidRDefault="00111F08">
      <w:pPr>
        <w:rPr>
          <w:rFonts w:ascii="Calibri" w:hAnsi="Calibri"/>
        </w:rPr>
      </w:pPr>
    </w:p>
    <w:p w14:paraId="47D348E6" w14:textId="77777777" w:rsidR="005A5CF4" w:rsidRDefault="005A5CF4">
      <w:pPr>
        <w:rPr>
          <w:rFonts w:ascii="Calibri" w:hAnsi="Calibri"/>
        </w:rPr>
      </w:pPr>
    </w:p>
    <w:p w14:paraId="0FA07A4C" w14:textId="77777777" w:rsidR="005A5CF4" w:rsidRDefault="005A5CF4">
      <w:pPr>
        <w:rPr>
          <w:rFonts w:ascii="Calibri" w:hAnsi="Calibri"/>
        </w:rPr>
      </w:pPr>
    </w:p>
    <w:p w14:paraId="1A8067D0" w14:textId="77777777" w:rsidR="005A5CF4" w:rsidRDefault="005A5CF4">
      <w:pPr>
        <w:rPr>
          <w:rFonts w:ascii="Calibri" w:hAnsi="Calibri"/>
        </w:rPr>
      </w:pPr>
    </w:p>
    <w:p w14:paraId="4B1B64DD" w14:textId="77777777" w:rsidR="005A5CF4" w:rsidRDefault="005A5CF4">
      <w:pPr>
        <w:rPr>
          <w:rFonts w:ascii="Calibri" w:hAnsi="Calibri"/>
        </w:rPr>
      </w:pPr>
    </w:p>
    <w:p w14:paraId="74F94501" w14:textId="77777777" w:rsidR="005A5CF4" w:rsidRDefault="005A5CF4">
      <w:pPr>
        <w:rPr>
          <w:rFonts w:ascii="Calibri" w:hAnsi="Calibri"/>
        </w:rPr>
      </w:pPr>
    </w:p>
    <w:p w14:paraId="19D92596" w14:textId="77777777" w:rsidR="005A5CF4" w:rsidRDefault="005A5CF4">
      <w:pPr>
        <w:rPr>
          <w:rFonts w:ascii="Calibri" w:hAnsi="Calibri"/>
        </w:rPr>
      </w:pPr>
    </w:p>
    <w:p w14:paraId="3A83A676" w14:textId="77777777" w:rsidR="005A5CF4" w:rsidRDefault="005A5CF4">
      <w:pPr>
        <w:rPr>
          <w:rFonts w:ascii="Calibri" w:hAnsi="Calibri"/>
        </w:rPr>
      </w:pPr>
    </w:p>
    <w:p w14:paraId="3F286AB9" w14:textId="77777777" w:rsidR="005A5CF4" w:rsidRDefault="005A5CF4">
      <w:pPr>
        <w:rPr>
          <w:rFonts w:ascii="Calibri" w:hAnsi="Calibri"/>
        </w:rPr>
      </w:pPr>
    </w:p>
    <w:p w14:paraId="0C930012" w14:textId="77777777" w:rsidR="005A5CF4" w:rsidRDefault="005A5CF4">
      <w:pPr>
        <w:rPr>
          <w:rFonts w:ascii="Calibri" w:hAnsi="Calibri"/>
        </w:rPr>
      </w:pPr>
    </w:p>
    <w:p w14:paraId="27CAC0C5" w14:textId="77777777" w:rsidR="00171BFB" w:rsidRPr="00A33EE2" w:rsidRDefault="00171BFB">
      <w:pPr>
        <w:rPr>
          <w:rFonts w:ascii="Calibri" w:hAnsi="Calibri"/>
        </w:rPr>
      </w:pPr>
    </w:p>
    <w:tbl>
      <w:tblPr>
        <w:tblStyle w:val="Tabellenraster"/>
        <w:tblW w:w="0" w:type="auto"/>
        <w:tblLook w:val="04A0" w:firstRow="1" w:lastRow="0" w:firstColumn="1" w:lastColumn="0" w:noHBand="0" w:noVBand="1"/>
      </w:tblPr>
      <w:tblGrid>
        <w:gridCol w:w="2258"/>
        <w:gridCol w:w="6957"/>
      </w:tblGrid>
      <w:tr w:rsidR="00A40D71" w:rsidRPr="00A33EE2" w14:paraId="041B66BE" w14:textId="77777777" w:rsidTr="00A40D71">
        <w:tc>
          <w:tcPr>
            <w:tcW w:w="9206" w:type="dxa"/>
            <w:gridSpan w:val="2"/>
          </w:tcPr>
          <w:p w14:paraId="7328ED10" w14:textId="300D17D6" w:rsidR="00A40D71" w:rsidRPr="00A33EE2" w:rsidRDefault="00A40D71" w:rsidP="001635D7">
            <w:pPr>
              <w:rPr>
                <w:rFonts w:ascii="Calibri" w:hAnsi="Calibri"/>
                <w:sz w:val="28"/>
              </w:rPr>
            </w:pPr>
            <w:r w:rsidRPr="00A33EE2">
              <w:rPr>
                <w:rFonts w:ascii="Calibri" w:hAnsi="Calibri"/>
                <w:sz w:val="28"/>
              </w:rPr>
              <w:t>Biometrischer Pass – Fingerabdruck als Eingriff in die Privatsphäre?</w:t>
            </w:r>
            <w:r w:rsidR="00EB1076" w:rsidRPr="00A33EE2">
              <w:rPr>
                <w:rFonts w:ascii="Calibri" w:hAnsi="Calibri"/>
                <w:sz w:val="28"/>
              </w:rPr>
              <w:t xml:space="preserve"> </w:t>
            </w:r>
          </w:p>
        </w:tc>
      </w:tr>
      <w:tr w:rsidR="00A40D71" w:rsidRPr="00A33EE2" w14:paraId="07EEBEE0" w14:textId="77777777" w:rsidTr="00A40D71">
        <w:tc>
          <w:tcPr>
            <w:tcW w:w="2249" w:type="dxa"/>
          </w:tcPr>
          <w:p w14:paraId="2A41381A" w14:textId="77777777" w:rsidR="00A40D71" w:rsidRPr="00A33EE2" w:rsidRDefault="00A40D71" w:rsidP="00A40D71">
            <w:pPr>
              <w:rPr>
                <w:rFonts w:ascii="Calibri" w:hAnsi="Calibri"/>
              </w:rPr>
            </w:pPr>
            <w:r w:rsidRPr="00A33EE2">
              <w:rPr>
                <w:rFonts w:ascii="Calibri" w:hAnsi="Calibri"/>
                <w:b/>
              </w:rPr>
              <w:t>Ausgangssituation</w:t>
            </w:r>
          </w:p>
        </w:tc>
        <w:tc>
          <w:tcPr>
            <w:tcW w:w="6957" w:type="dxa"/>
          </w:tcPr>
          <w:p w14:paraId="23121650" w14:textId="401A6FB4" w:rsidR="00A40D71" w:rsidRPr="00A33EE2" w:rsidRDefault="00A40D71" w:rsidP="00596866">
            <w:pPr>
              <w:rPr>
                <w:rFonts w:ascii="Calibri" w:hAnsi="Calibri"/>
              </w:rPr>
            </w:pPr>
            <w:r w:rsidRPr="00A33EE2">
              <w:rPr>
                <w:rFonts w:ascii="Calibri" w:hAnsi="Calibri"/>
              </w:rPr>
              <w:t xml:space="preserve">Michael Schwarz wollte bei der Stadt Bochum einen Reisepass beantragen. Hierzu hätte er aber Fingerabdrücke abgeben müssen, was er zum Schutz seiner Privatsphäre nicht wollte. Daraufhin wurde ihm die Erstellung des Reisepasses verweigert. </w:t>
            </w:r>
            <w:r w:rsidR="005A5CF4">
              <w:rPr>
                <w:rFonts w:ascii="Calibri" w:hAnsi="Calibri"/>
              </w:rPr>
              <w:t>Damit gab sich Herr Schwarz nicht zufrieden</w:t>
            </w:r>
            <w:r w:rsidR="00596866">
              <w:rPr>
                <w:rFonts w:ascii="Calibri" w:hAnsi="Calibri"/>
              </w:rPr>
              <w:t xml:space="preserve"> und erhob vor dem Verwaltungsgericht in Gelsenkirchen Klage, denn die verpflichtenden Fingerabdrücke würden gegen das Recht auf Schutz personenbezogener Daten und das Recht auf Privatleben, beides Rechte in der Grundrechte-Charta der EU, verletzen. Deshalb legte wiederum das deutsche Gericht die Fragen der Verletzung dem EuGH zur Vorabentscheidung vor. </w:t>
            </w:r>
          </w:p>
        </w:tc>
      </w:tr>
      <w:tr w:rsidR="00A40D71" w:rsidRPr="00A33EE2" w14:paraId="4DA499AC" w14:textId="77777777" w:rsidTr="00A40D71">
        <w:tc>
          <w:tcPr>
            <w:tcW w:w="2249" w:type="dxa"/>
          </w:tcPr>
          <w:p w14:paraId="6D1D599C" w14:textId="77777777" w:rsidR="00A40D71" w:rsidRPr="00A33EE2" w:rsidRDefault="00A40D71" w:rsidP="00A40D71">
            <w:pPr>
              <w:rPr>
                <w:rFonts w:ascii="Calibri" w:hAnsi="Calibri"/>
                <w:b/>
              </w:rPr>
            </w:pPr>
            <w:r w:rsidRPr="00A33EE2">
              <w:rPr>
                <w:rFonts w:ascii="Calibri" w:hAnsi="Calibri"/>
                <w:b/>
              </w:rPr>
              <w:t xml:space="preserve">Rollenkarte </w:t>
            </w:r>
          </w:p>
          <w:p w14:paraId="1A03A565" w14:textId="6769D360" w:rsidR="00A40D71" w:rsidRPr="00A33EE2" w:rsidRDefault="00A40D71" w:rsidP="00A40D71">
            <w:pPr>
              <w:rPr>
                <w:rFonts w:ascii="Calibri" w:hAnsi="Calibri"/>
              </w:rPr>
            </w:pPr>
            <w:r w:rsidRPr="00A33EE2">
              <w:rPr>
                <w:rFonts w:ascii="Calibri" w:hAnsi="Calibri"/>
                <w:b/>
              </w:rPr>
              <w:t>Michael Schwarz</w:t>
            </w:r>
          </w:p>
        </w:tc>
        <w:tc>
          <w:tcPr>
            <w:tcW w:w="6957" w:type="dxa"/>
          </w:tcPr>
          <w:p w14:paraId="18ECC093" w14:textId="54EEC33E" w:rsidR="00A40D71" w:rsidRPr="00A33EE2" w:rsidRDefault="00E804E3" w:rsidP="00C54982">
            <w:pPr>
              <w:rPr>
                <w:rFonts w:ascii="Calibri" w:hAnsi="Calibri"/>
              </w:rPr>
            </w:pPr>
            <w:r>
              <w:rPr>
                <w:rFonts w:ascii="Calibri" w:hAnsi="Calibri"/>
              </w:rPr>
              <w:t xml:space="preserve">Du bist der deutsche Staatsbürger Michael Schwarz. Du möchtest deine Fingerabdrücke nicht abgeben, denn diese werden in </w:t>
            </w:r>
            <w:r w:rsidR="004D6A35" w:rsidRPr="00A33EE2">
              <w:rPr>
                <w:rFonts w:ascii="Calibri" w:hAnsi="Calibri"/>
              </w:rPr>
              <w:t>elektronischen Datenbanken</w:t>
            </w:r>
            <w:r>
              <w:rPr>
                <w:rFonts w:ascii="Calibri" w:hAnsi="Calibri"/>
              </w:rPr>
              <w:t xml:space="preserve"> und nicht nur auf dem Pass abgelegt, sodass</w:t>
            </w:r>
            <w:r w:rsidR="004D6A35" w:rsidRPr="00A33EE2">
              <w:rPr>
                <w:rFonts w:ascii="Calibri" w:hAnsi="Calibri"/>
              </w:rPr>
              <w:t xml:space="preserve"> man</w:t>
            </w:r>
            <w:r w:rsidR="00C54982">
              <w:rPr>
                <w:rFonts w:ascii="Calibri" w:hAnsi="Calibri"/>
              </w:rPr>
              <w:t xml:space="preserve"> den</w:t>
            </w:r>
            <w:r w:rsidR="00EB1076" w:rsidRPr="00A33EE2">
              <w:rPr>
                <w:rFonts w:ascii="Calibri" w:hAnsi="Calibri"/>
              </w:rPr>
              <w:t xml:space="preserve"> Missbrauch durch </w:t>
            </w:r>
            <w:r w:rsidR="004D6A35" w:rsidRPr="00A33EE2">
              <w:rPr>
                <w:rFonts w:ascii="Calibri" w:hAnsi="Calibri"/>
              </w:rPr>
              <w:t>Hacker</w:t>
            </w:r>
            <w:r w:rsidR="00C54982">
              <w:rPr>
                <w:rFonts w:ascii="Calibri" w:hAnsi="Calibri"/>
              </w:rPr>
              <w:t xml:space="preserve"> oder sogar die staatliche Weitergabe</w:t>
            </w:r>
            <w:r w:rsidR="004D6A35" w:rsidRPr="00A33EE2">
              <w:rPr>
                <w:rFonts w:ascii="Calibri" w:hAnsi="Calibri"/>
              </w:rPr>
              <w:t xml:space="preserve"> fürchten</w:t>
            </w:r>
            <w:r w:rsidR="00C54982">
              <w:rPr>
                <w:rFonts w:ascii="Calibri" w:hAnsi="Calibri"/>
              </w:rPr>
              <w:t xml:space="preserve"> muss. Deshalb</w:t>
            </w:r>
            <w:r w:rsidR="004D6A35" w:rsidRPr="00A33EE2">
              <w:rPr>
                <w:rFonts w:ascii="Calibri" w:hAnsi="Calibri"/>
              </w:rPr>
              <w:t xml:space="preserve"> </w:t>
            </w:r>
            <w:r w:rsidR="00C54982">
              <w:rPr>
                <w:rFonts w:ascii="Calibri" w:hAnsi="Calibri"/>
              </w:rPr>
              <w:t>fordert er die</w:t>
            </w:r>
            <w:r w:rsidR="004D6A35" w:rsidRPr="00A33EE2">
              <w:rPr>
                <w:rFonts w:ascii="Calibri" w:hAnsi="Calibri"/>
              </w:rPr>
              <w:t xml:space="preserve"> Achtung des Privatlebens und </w:t>
            </w:r>
            <w:r w:rsidR="00C54982">
              <w:rPr>
                <w:rFonts w:ascii="Calibri" w:hAnsi="Calibri"/>
              </w:rPr>
              <w:t>den</w:t>
            </w:r>
            <w:r w:rsidR="004D6A35" w:rsidRPr="00A33EE2">
              <w:rPr>
                <w:rFonts w:ascii="Calibri" w:hAnsi="Calibri"/>
              </w:rPr>
              <w:t xml:space="preserve"> </w:t>
            </w:r>
            <w:r w:rsidR="00C54982">
              <w:rPr>
                <w:rFonts w:ascii="Calibri" w:hAnsi="Calibri"/>
              </w:rPr>
              <w:t xml:space="preserve">Schutz personenbezogener Daten. Außerdem ist nachgewiesenermaßen der deutsche Pass </w:t>
            </w:r>
            <w:r w:rsidR="004D6A35" w:rsidRPr="00A33EE2">
              <w:rPr>
                <w:rFonts w:ascii="Calibri" w:hAnsi="Calibri"/>
              </w:rPr>
              <w:t>auch ohne Fingerabdrücke fälschungssicher</w:t>
            </w:r>
            <w:r w:rsidR="00C54982">
              <w:rPr>
                <w:rFonts w:ascii="Calibri" w:hAnsi="Calibri"/>
              </w:rPr>
              <w:t xml:space="preserve">. </w:t>
            </w:r>
            <w:r w:rsidR="004D6A35" w:rsidRPr="00A33EE2">
              <w:rPr>
                <w:rFonts w:ascii="Calibri" w:hAnsi="Calibri"/>
              </w:rPr>
              <w:softHyphen/>
            </w:r>
            <w:r w:rsidR="004D6A35" w:rsidRPr="00A33EE2">
              <w:rPr>
                <w:rFonts w:ascii="Calibri" w:hAnsi="Calibri"/>
              </w:rPr>
              <w:softHyphen/>
            </w:r>
            <w:r w:rsidR="004D6A35" w:rsidRPr="00A33EE2">
              <w:rPr>
                <w:rFonts w:ascii="Calibri" w:hAnsi="Calibri"/>
              </w:rPr>
              <w:softHyphen/>
            </w:r>
            <w:r w:rsidR="00C54982">
              <w:rPr>
                <w:rFonts w:ascii="Calibri" w:hAnsi="Calibri"/>
              </w:rPr>
              <w:t xml:space="preserve">Nicht zuletzt hat der </w:t>
            </w:r>
            <w:r w:rsidR="004D6A35" w:rsidRPr="00A33EE2">
              <w:rPr>
                <w:rFonts w:ascii="Calibri" w:hAnsi="Calibri"/>
              </w:rPr>
              <w:t xml:space="preserve">Chaos Computer Club </w:t>
            </w:r>
            <w:r w:rsidR="00C54982">
              <w:rPr>
                <w:rFonts w:ascii="Calibri" w:hAnsi="Calibri"/>
              </w:rPr>
              <w:t xml:space="preserve">an </w:t>
            </w:r>
            <w:r w:rsidR="004D6A35" w:rsidRPr="00A33EE2">
              <w:rPr>
                <w:rFonts w:ascii="Calibri" w:hAnsi="Calibri"/>
              </w:rPr>
              <w:t>iPhones</w:t>
            </w:r>
            <w:r w:rsidR="00C54982">
              <w:rPr>
                <w:rFonts w:ascii="Calibri" w:hAnsi="Calibri"/>
              </w:rPr>
              <w:t xml:space="preserve"> gezeigt</w:t>
            </w:r>
            <w:r w:rsidR="004D6A35" w:rsidRPr="00A33EE2">
              <w:rPr>
                <w:rFonts w:ascii="Calibri" w:hAnsi="Calibri"/>
              </w:rPr>
              <w:t>, dass Fingerabdruckscanner sich täuschen lassen und</w:t>
            </w:r>
            <w:r w:rsidR="00C54982">
              <w:rPr>
                <w:rFonts w:ascii="Calibri" w:hAnsi="Calibri"/>
              </w:rPr>
              <w:t xml:space="preserve"> sich</w:t>
            </w:r>
            <w:r w:rsidR="004D6A35" w:rsidRPr="00A33EE2">
              <w:rPr>
                <w:rFonts w:ascii="Calibri" w:hAnsi="Calibri"/>
              </w:rPr>
              <w:t xml:space="preserve"> Fingerabdrücke fälschen</w:t>
            </w:r>
            <w:r w:rsidR="00C54982">
              <w:rPr>
                <w:rFonts w:ascii="Calibri" w:hAnsi="Calibri"/>
              </w:rPr>
              <w:t xml:space="preserve"> lassen.</w:t>
            </w:r>
          </w:p>
        </w:tc>
      </w:tr>
      <w:tr w:rsidR="00A40D71" w:rsidRPr="00A33EE2" w14:paraId="795B2D54" w14:textId="77777777" w:rsidTr="00A40D71">
        <w:tc>
          <w:tcPr>
            <w:tcW w:w="2249" w:type="dxa"/>
          </w:tcPr>
          <w:p w14:paraId="3EA84642" w14:textId="3FEA2B42" w:rsidR="00A40D71" w:rsidRPr="00A33EE2" w:rsidRDefault="00A40D71" w:rsidP="00C54982">
            <w:pPr>
              <w:rPr>
                <w:rFonts w:ascii="Calibri" w:hAnsi="Calibri"/>
              </w:rPr>
            </w:pPr>
            <w:r w:rsidRPr="00A33EE2">
              <w:rPr>
                <w:rFonts w:ascii="Calibri" w:hAnsi="Calibri"/>
                <w:b/>
              </w:rPr>
              <w:t>Rollenkarte Vertreter</w:t>
            </w:r>
            <w:r w:rsidR="00C54982">
              <w:rPr>
                <w:rFonts w:ascii="Calibri" w:hAnsi="Calibri"/>
                <w:b/>
              </w:rPr>
              <w:t>*in Müller</w:t>
            </w:r>
            <w:r w:rsidRPr="00A33EE2">
              <w:rPr>
                <w:rFonts w:ascii="Calibri" w:hAnsi="Calibri"/>
                <w:b/>
              </w:rPr>
              <w:t xml:space="preserve"> </w:t>
            </w:r>
            <w:r w:rsidR="00C54982">
              <w:rPr>
                <w:rFonts w:ascii="Calibri" w:hAnsi="Calibri"/>
                <w:b/>
              </w:rPr>
              <w:t>des Verwaltungsgerichts Gelsenkirchen</w:t>
            </w:r>
          </w:p>
        </w:tc>
        <w:tc>
          <w:tcPr>
            <w:tcW w:w="6957" w:type="dxa"/>
          </w:tcPr>
          <w:p w14:paraId="589C2598" w14:textId="0AA927F4" w:rsidR="00A40D71" w:rsidRPr="00A33EE2" w:rsidRDefault="00C54982" w:rsidP="00A030EE">
            <w:pPr>
              <w:rPr>
                <w:rFonts w:ascii="Calibri" w:hAnsi="Calibri"/>
              </w:rPr>
            </w:pPr>
            <w:r>
              <w:rPr>
                <w:rFonts w:ascii="Calibri" w:hAnsi="Calibri"/>
              </w:rPr>
              <w:t>Du bist die Vertreter*in des Verwaltungsgerichts Gelsenkirchen. Du siehst</w:t>
            </w:r>
            <w:r w:rsidR="00F523D6" w:rsidRPr="00A33EE2">
              <w:rPr>
                <w:rFonts w:ascii="Calibri" w:hAnsi="Calibri"/>
              </w:rPr>
              <w:t xml:space="preserve"> ein, dass</w:t>
            </w:r>
            <w:r>
              <w:rPr>
                <w:rFonts w:ascii="Calibri" w:hAnsi="Calibri"/>
              </w:rPr>
              <w:t xml:space="preserve"> durch die Fingerabdrücke der</w:t>
            </w:r>
            <w:r w:rsidR="00F523D6" w:rsidRPr="00A33EE2">
              <w:rPr>
                <w:rFonts w:ascii="Calibri" w:hAnsi="Calibri"/>
              </w:rPr>
              <w:t xml:space="preserve"> Datenschutz und </w:t>
            </w:r>
            <w:r>
              <w:rPr>
                <w:rFonts w:ascii="Calibri" w:hAnsi="Calibri"/>
              </w:rPr>
              <w:t xml:space="preserve">das </w:t>
            </w:r>
            <w:r w:rsidR="00F523D6" w:rsidRPr="00A33EE2">
              <w:rPr>
                <w:rFonts w:ascii="Calibri" w:hAnsi="Calibri"/>
              </w:rPr>
              <w:t>Recht auf Privatsphäre verletzt</w:t>
            </w:r>
            <w:r>
              <w:rPr>
                <w:rFonts w:ascii="Calibri" w:hAnsi="Calibri"/>
              </w:rPr>
              <w:t xml:space="preserve"> werden. Dir ist aber das dahinterliegende Ziel sehr wichtig, denn die b</w:t>
            </w:r>
            <w:r w:rsidR="00F523D6" w:rsidRPr="00A33EE2">
              <w:rPr>
                <w:rFonts w:ascii="Calibri" w:hAnsi="Calibri"/>
              </w:rPr>
              <w:t>etrügerische Verwendung von Rei</w:t>
            </w:r>
            <w:r>
              <w:rPr>
                <w:rFonts w:ascii="Calibri" w:hAnsi="Calibri"/>
              </w:rPr>
              <w:t>sepässen soll verhindert werden, als auch die illegale Einreise</w:t>
            </w:r>
            <w:r w:rsidR="00F523D6" w:rsidRPr="00A33EE2">
              <w:rPr>
                <w:rFonts w:ascii="Calibri" w:hAnsi="Calibri"/>
              </w:rPr>
              <w:t xml:space="preserve"> in</w:t>
            </w:r>
            <w:r>
              <w:rPr>
                <w:rFonts w:ascii="Calibri" w:hAnsi="Calibri"/>
              </w:rPr>
              <w:t xml:space="preserve"> die EU. Durch die Speicherung auf dem Reisepass und die Person, die vor den Augen der Grenzschützer ihren Fingerabdruck zum Vergleich abgibt, ist das System sehr sicher. Außerdem müssen </w:t>
            </w:r>
            <w:r w:rsidR="006D6B18" w:rsidRPr="00A33EE2">
              <w:rPr>
                <w:rFonts w:ascii="Calibri" w:hAnsi="Calibri"/>
              </w:rPr>
              <w:t>biometrische Vorgaben aus internationalen Gründen</w:t>
            </w:r>
            <w:r w:rsidR="00EB1076" w:rsidRPr="00A33EE2">
              <w:rPr>
                <w:rFonts w:ascii="Calibri" w:hAnsi="Calibri"/>
              </w:rPr>
              <w:t xml:space="preserve"> (Druck aus den USA)</w:t>
            </w:r>
            <w:r w:rsidRPr="00A33EE2">
              <w:rPr>
                <w:rFonts w:ascii="Calibri" w:hAnsi="Calibri"/>
              </w:rPr>
              <w:t xml:space="preserve"> erfüllt werden</w:t>
            </w:r>
            <w:r>
              <w:rPr>
                <w:rFonts w:ascii="Calibri" w:hAnsi="Calibri"/>
              </w:rPr>
              <w:t xml:space="preserve">. Fingerabdrücke sind auch ein guter </w:t>
            </w:r>
            <w:r w:rsidR="00EB1076" w:rsidRPr="00A33EE2">
              <w:rPr>
                <w:rFonts w:ascii="Calibri" w:hAnsi="Calibri"/>
              </w:rPr>
              <w:t>Schutz vor Passfälschungen,</w:t>
            </w:r>
            <w:r>
              <w:rPr>
                <w:rFonts w:ascii="Calibri" w:hAnsi="Calibri"/>
              </w:rPr>
              <w:t xml:space="preserve"> denn Fälscher*innen tun sich schwer, den Fingerabdruck elektronisch auf dem Pass zu speichern. </w:t>
            </w:r>
          </w:p>
        </w:tc>
      </w:tr>
      <w:tr w:rsidR="00A40D71" w:rsidRPr="00A33EE2" w14:paraId="21F51772" w14:textId="77777777" w:rsidTr="00A40D71">
        <w:tc>
          <w:tcPr>
            <w:tcW w:w="2249" w:type="dxa"/>
          </w:tcPr>
          <w:p w14:paraId="39E6EC0C" w14:textId="4AEA4C22" w:rsidR="00A40D71" w:rsidRPr="00A33EE2" w:rsidRDefault="00A40D71" w:rsidP="00A40D71">
            <w:pPr>
              <w:rPr>
                <w:rFonts w:ascii="Calibri" w:hAnsi="Calibri"/>
              </w:rPr>
            </w:pPr>
            <w:r w:rsidRPr="00A33EE2">
              <w:rPr>
                <w:rFonts w:ascii="Calibri" w:hAnsi="Calibri"/>
                <w:b/>
              </w:rPr>
              <w:t>Rollenkarte Richter*in</w:t>
            </w:r>
            <w:r w:rsidR="005A5CF4">
              <w:rPr>
                <w:rFonts w:ascii="Calibri" w:hAnsi="Calibri"/>
                <w:b/>
              </w:rPr>
              <w:t xml:space="preserve"> </w:t>
            </w:r>
            <w:proofErr w:type="spellStart"/>
            <w:r w:rsidR="005A5CF4">
              <w:rPr>
                <w:rFonts w:ascii="Calibri" w:hAnsi="Calibri"/>
                <w:b/>
              </w:rPr>
              <w:t>Safjan</w:t>
            </w:r>
            <w:proofErr w:type="spellEnd"/>
          </w:p>
        </w:tc>
        <w:tc>
          <w:tcPr>
            <w:tcW w:w="6957" w:type="dxa"/>
          </w:tcPr>
          <w:p w14:paraId="6AFA5E00" w14:textId="58440C7C" w:rsidR="00A40D71" w:rsidRPr="00A33EE2" w:rsidRDefault="005A5CF4" w:rsidP="005A5CF4">
            <w:pPr>
              <w:rPr>
                <w:rFonts w:ascii="Calibri" w:hAnsi="Calibri"/>
              </w:rPr>
            </w:pPr>
            <w:r w:rsidRPr="00A33EE2">
              <w:rPr>
                <w:rFonts w:ascii="Calibri" w:hAnsi="Calibri"/>
              </w:rPr>
              <w:t xml:space="preserve">Du bist </w:t>
            </w:r>
            <w:r>
              <w:rPr>
                <w:rFonts w:ascii="Calibri" w:hAnsi="Calibri"/>
              </w:rPr>
              <w:t>Frau/Herr</w:t>
            </w:r>
            <w:r w:rsidRPr="00A33EE2">
              <w:rPr>
                <w:rFonts w:ascii="Calibri" w:hAnsi="Calibri"/>
              </w:rPr>
              <w:t xml:space="preserve"> </w:t>
            </w:r>
            <w:proofErr w:type="spellStart"/>
            <w:r>
              <w:rPr>
                <w:rFonts w:ascii="Calibri" w:hAnsi="Calibri"/>
              </w:rPr>
              <w:t>Safjan</w:t>
            </w:r>
            <w:proofErr w:type="spellEnd"/>
            <w:r w:rsidRPr="00A33EE2">
              <w:rPr>
                <w:rFonts w:ascii="Calibri" w:hAnsi="Calibri"/>
              </w:rPr>
              <w:t xml:space="preserve"> und arbeitest als Richter</w:t>
            </w:r>
            <w:r>
              <w:rPr>
                <w:rFonts w:ascii="Calibri" w:hAnsi="Calibri"/>
              </w:rPr>
              <w:t>*</w:t>
            </w:r>
            <w:r w:rsidRPr="00A33EE2">
              <w:rPr>
                <w:rFonts w:ascii="Calibri" w:hAnsi="Calibri"/>
              </w:rPr>
              <w:t>in am Europäischen Gerichtshof. Du hörst dir beide Positionen an. Fälle eine Entscheidung!</w:t>
            </w:r>
          </w:p>
        </w:tc>
      </w:tr>
      <w:tr w:rsidR="00A40D71" w:rsidRPr="00A33EE2" w14:paraId="457EB674" w14:textId="77777777" w:rsidTr="00A40D71">
        <w:tc>
          <w:tcPr>
            <w:tcW w:w="2249" w:type="dxa"/>
          </w:tcPr>
          <w:p w14:paraId="52912430" w14:textId="77777777" w:rsidR="00A40D71" w:rsidRPr="00A33EE2" w:rsidRDefault="00A40D71" w:rsidP="00A40D71">
            <w:pPr>
              <w:rPr>
                <w:rFonts w:ascii="Calibri" w:hAnsi="Calibri"/>
              </w:rPr>
            </w:pPr>
            <w:r w:rsidRPr="00A33EE2">
              <w:rPr>
                <w:rFonts w:ascii="Calibri" w:hAnsi="Calibri"/>
                <w:b/>
              </w:rPr>
              <w:t>EuGH-Entscheidung in der Realität</w:t>
            </w:r>
          </w:p>
        </w:tc>
        <w:tc>
          <w:tcPr>
            <w:tcW w:w="6957" w:type="dxa"/>
          </w:tcPr>
          <w:p w14:paraId="252632FC" w14:textId="4F12184A" w:rsidR="00A40D71" w:rsidRPr="00A33EE2" w:rsidRDefault="00EB1076" w:rsidP="006E281E">
            <w:pPr>
              <w:jc w:val="both"/>
              <w:rPr>
                <w:rFonts w:ascii="Calibri" w:hAnsi="Calibri"/>
              </w:rPr>
            </w:pPr>
            <w:r w:rsidRPr="00A33EE2">
              <w:rPr>
                <w:rFonts w:ascii="Calibri" w:hAnsi="Calibri"/>
              </w:rPr>
              <w:t>Der EuGH entschied 2013</w:t>
            </w:r>
            <w:r w:rsidR="006E281E">
              <w:rPr>
                <w:rFonts w:ascii="Calibri" w:hAnsi="Calibri"/>
              </w:rPr>
              <w:t xml:space="preserve"> gegen den Kläger Herr Schwarz</w:t>
            </w:r>
            <w:r w:rsidRPr="00A33EE2">
              <w:rPr>
                <w:rFonts w:ascii="Calibri" w:hAnsi="Calibri"/>
              </w:rPr>
              <w:t>, dass zwar eine Verletzung der Privatsphäre stattfindet, jedoch ein biometrischer Pass und die damit verbundenen Fingerabdrücke wichtig zur Sicherheit der Menschen sind, sodass keine illegale Einwanderung stattfindet und die Passfälschung erschwert bleibt.</w:t>
            </w:r>
            <w:r w:rsidR="006E281E">
              <w:rPr>
                <w:rFonts w:ascii="Calibri" w:hAnsi="Calibri"/>
              </w:rPr>
              <w:t xml:space="preserve"> Damit ist weiterhin die Abgabe von Fingerabdrücken nötig, um einen Reisepass in Deutschland zu beantragen.</w:t>
            </w:r>
          </w:p>
        </w:tc>
      </w:tr>
    </w:tbl>
    <w:p w14:paraId="74E43DEF" w14:textId="77777777" w:rsidR="00A40D71" w:rsidRPr="00A33EE2" w:rsidRDefault="00A40D71">
      <w:pPr>
        <w:rPr>
          <w:rFonts w:ascii="Calibri" w:hAnsi="Calibri"/>
        </w:rPr>
      </w:pPr>
    </w:p>
    <w:sectPr w:rsidR="00A40D71" w:rsidRPr="00A33EE2" w:rsidSect="00735057">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6EBC" w14:textId="77777777" w:rsidR="00D050BF" w:rsidRDefault="00D050BF" w:rsidP="00085B94">
      <w:r>
        <w:separator/>
      </w:r>
    </w:p>
  </w:endnote>
  <w:endnote w:type="continuationSeparator" w:id="0">
    <w:p w14:paraId="67C29728" w14:textId="77777777" w:rsidR="00D050BF" w:rsidRDefault="00D050BF" w:rsidP="0008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D63B" w14:textId="77777777" w:rsidR="00D050BF" w:rsidRDefault="00D050BF" w:rsidP="00085B94">
      <w:r>
        <w:separator/>
      </w:r>
    </w:p>
  </w:footnote>
  <w:footnote w:type="continuationSeparator" w:id="0">
    <w:p w14:paraId="05FFD4F8" w14:textId="77777777" w:rsidR="00D050BF" w:rsidRDefault="00D050BF" w:rsidP="0008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42A7" w14:textId="77777777" w:rsidR="00CD395E" w:rsidRDefault="00CD395E" w:rsidP="00CD395E">
    <w:pPr>
      <w:pStyle w:val="Kopfzeile"/>
      <w:tabs>
        <w:tab w:val="clear" w:pos="4536"/>
        <w:tab w:val="clear" w:pos="9072"/>
        <w:tab w:val="left" w:pos="5745"/>
      </w:tabs>
    </w:pPr>
    <w:r>
      <w:rPr>
        <w:rFonts w:ascii="Helvetica" w:hAnsi="Helvetica" w:cs="Helvetica"/>
        <w:noProof/>
      </w:rPr>
      <w:drawing>
        <wp:anchor distT="0" distB="0" distL="114300" distR="114300" simplePos="0" relativeHeight="251661312" behindDoc="0" locked="0" layoutInCell="1" allowOverlap="1" wp14:anchorId="1455F707" wp14:editId="40F29266">
          <wp:simplePos x="0" y="0"/>
          <wp:positionH relativeFrom="column">
            <wp:posOffset>2563495</wp:posOffset>
          </wp:positionH>
          <wp:positionV relativeFrom="paragraph">
            <wp:posOffset>122421</wp:posOffset>
          </wp:positionV>
          <wp:extent cx="605155" cy="213360"/>
          <wp:effectExtent l="0" t="0" r="4445" b="25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2133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D12B4">
      <w:rPr>
        <w:noProof/>
      </w:rPr>
      <w:drawing>
        <wp:anchor distT="0" distB="0" distL="114300" distR="114300" simplePos="0" relativeHeight="251659264" behindDoc="0" locked="0" layoutInCell="1" allowOverlap="1" wp14:anchorId="34E71824" wp14:editId="2095E2B0">
          <wp:simplePos x="0" y="0"/>
          <wp:positionH relativeFrom="column">
            <wp:posOffset>4551680</wp:posOffset>
          </wp:positionH>
          <wp:positionV relativeFrom="paragraph">
            <wp:posOffset>-75766</wp:posOffset>
          </wp:positionV>
          <wp:extent cx="1113155" cy="513080"/>
          <wp:effectExtent l="0" t="0" r="4445"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13155" cy="513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7DD0">
      <w:rPr>
        <w:noProof/>
      </w:rPr>
      <w:drawing>
        <wp:anchor distT="0" distB="0" distL="114300" distR="114300" simplePos="0" relativeHeight="251660288" behindDoc="0" locked="0" layoutInCell="1" allowOverlap="1" wp14:anchorId="312649F6" wp14:editId="24F03BE9">
          <wp:simplePos x="0" y="0"/>
          <wp:positionH relativeFrom="column">
            <wp:posOffset>-25668</wp:posOffset>
          </wp:positionH>
          <wp:positionV relativeFrom="paragraph">
            <wp:posOffset>-8890</wp:posOffset>
          </wp:positionV>
          <wp:extent cx="1644015" cy="448945"/>
          <wp:effectExtent l="0" t="0" r="0" b="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10" name="Bild 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4489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872B9FC" w14:textId="77777777" w:rsidR="00CD395E" w:rsidRDefault="00CD395E" w:rsidP="00CD395E">
    <w:pPr>
      <w:pStyle w:val="Kopfzeile"/>
      <w:tabs>
        <w:tab w:val="clear" w:pos="4536"/>
        <w:tab w:val="clear" w:pos="9072"/>
        <w:tab w:val="left" w:pos="5331"/>
      </w:tabs>
    </w:pPr>
    <w:r>
      <w:tab/>
    </w:r>
  </w:p>
  <w:p w14:paraId="18B90AAE" w14:textId="77777777" w:rsidR="00CD395E" w:rsidRDefault="00CD39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0C9"/>
    <w:multiLevelType w:val="hybridMultilevel"/>
    <w:tmpl w:val="66B22770"/>
    <w:lvl w:ilvl="0" w:tplc="04070009">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03341E09"/>
    <w:multiLevelType w:val="hybridMultilevel"/>
    <w:tmpl w:val="F676BF9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345E30"/>
    <w:multiLevelType w:val="hybridMultilevel"/>
    <w:tmpl w:val="4794843C"/>
    <w:lvl w:ilvl="0" w:tplc="04070009">
      <w:start w:val="1"/>
      <w:numFmt w:val="bullet"/>
      <w:lvlText w:val=""/>
      <w:lvlJc w:val="left"/>
      <w:pPr>
        <w:ind w:left="502"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6F2884"/>
    <w:multiLevelType w:val="hybridMultilevel"/>
    <w:tmpl w:val="269A25FA"/>
    <w:lvl w:ilvl="0" w:tplc="86085556">
      <w:start w:val="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168B7"/>
    <w:multiLevelType w:val="hybridMultilevel"/>
    <w:tmpl w:val="743A6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7A7F72"/>
    <w:multiLevelType w:val="hybridMultilevel"/>
    <w:tmpl w:val="CB921AB2"/>
    <w:lvl w:ilvl="0" w:tplc="86085556">
      <w:start w:val="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1495" w:hanging="360"/>
      </w:pPr>
      <w:rPr>
        <w:rFonts w:ascii="Wingdings" w:hAnsi="Wingdings" w:hint="default"/>
      </w:rPr>
    </w:lvl>
    <w:lvl w:ilvl="3" w:tplc="04070001">
      <w:start w:val="1"/>
      <w:numFmt w:val="bullet"/>
      <w:lvlText w:val=""/>
      <w:lvlJc w:val="left"/>
      <w:pPr>
        <w:ind w:left="2062"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A00EB8"/>
    <w:multiLevelType w:val="hybridMultilevel"/>
    <w:tmpl w:val="B6FA4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520F9D"/>
    <w:multiLevelType w:val="hybridMultilevel"/>
    <w:tmpl w:val="466E45F2"/>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5E7ED5"/>
    <w:multiLevelType w:val="hybridMultilevel"/>
    <w:tmpl w:val="FADA076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B83ABC"/>
    <w:multiLevelType w:val="hybridMultilevel"/>
    <w:tmpl w:val="F6B4D8FA"/>
    <w:lvl w:ilvl="0" w:tplc="0407000B">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1C506748"/>
    <w:multiLevelType w:val="hybridMultilevel"/>
    <w:tmpl w:val="E750AE8A"/>
    <w:lvl w:ilvl="0" w:tplc="0407000B">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1" w15:restartNumberingAfterBreak="0">
    <w:nsid w:val="26831749"/>
    <w:multiLevelType w:val="hybridMultilevel"/>
    <w:tmpl w:val="47B097DA"/>
    <w:lvl w:ilvl="0" w:tplc="04070009">
      <w:start w:val="1"/>
      <w:numFmt w:val="bullet"/>
      <w:lvlText w:val=""/>
      <w:lvlJc w:val="left"/>
      <w:pPr>
        <w:ind w:left="502" w:hanging="360"/>
      </w:pPr>
      <w:rPr>
        <w:rFonts w:ascii="Wingdings" w:hAnsi="Wingdings" w:hint="default"/>
      </w:rPr>
    </w:lvl>
    <w:lvl w:ilvl="1" w:tplc="04070003">
      <w:start w:val="1"/>
      <w:numFmt w:val="bullet"/>
      <w:lvlText w:val="o"/>
      <w:lvlJc w:val="left"/>
      <w:pPr>
        <w:ind w:left="1222" w:hanging="360"/>
      </w:pPr>
      <w:rPr>
        <w:rFonts w:ascii="Courier New" w:hAnsi="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39D6032D"/>
    <w:multiLevelType w:val="hybridMultilevel"/>
    <w:tmpl w:val="0916CECE"/>
    <w:lvl w:ilvl="0" w:tplc="04070009">
      <w:start w:val="1"/>
      <w:numFmt w:val="bullet"/>
      <w:lvlText w:val=""/>
      <w:lvlJc w:val="left"/>
      <w:pPr>
        <w:ind w:left="502" w:hanging="360"/>
      </w:pPr>
      <w:rPr>
        <w:rFonts w:ascii="Wingdings" w:hAnsi="Wingdings" w:hint="default"/>
      </w:rPr>
    </w:lvl>
    <w:lvl w:ilvl="1" w:tplc="04070003">
      <w:start w:val="1"/>
      <w:numFmt w:val="bullet"/>
      <w:lvlText w:val="o"/>
      <w:lvlJc w:val="left"/>
      <w:pPr>
        <w:ind w:left="1222" w:hanging="360"/>
      </w:pPr>
      <w:rPr>
        <w:rFonts w:ascii="Courier New" w:hAnsi="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3F6C5EF1"/>
    <w:multiLevelType w:val="hybridMultilevel"/>
    <w:tmpl w:val="2DC6860E"/>
    <w:lvl w:ilvl="0" w:tplc="86085556">
      <w:start w:val="8"/>
      <w:numFmt w:val="bullet"/>
      <w:lvlText w:val="-"/>
      <w:lvlJc w:val="left"/>
      <w:pPr>
        <w:ind w:left="720" w:hanging="360"/>
      </w:pPr>
      <w:rPr>
        <w:rFonts w:ascii="Cambria" w:eastAsiaTheme="minorEastAsia" w:hAnsi="Cambria" w:cstheme="minorBidi" w:hint="default"/>
      </w:rPr>
    </w:lvl>
    <w:lvl w:ilvl="1" w:tplc="0407000B">
      <w:start w:val="1"/>
      <w:numFmt w:val="bullet"/>
      <w:lvlText w:val=""/>
      <w:lvlJc w:val="left"/>
      <w:pPr>
        <w:ind w:left="928"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8215BC"/>
    <w:multiLevelType w:val="hybridMultilevel"/>
    <w:tmpl w:val="2812B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A8494D"/>
    <w:multiLevelType w:val="hybridMultilevel"/>
    <w:tmpl w:val="B822A7D6"/>
    <w:lvl w:ilvl="0" w:tplc="04070005">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15:restartNumberingAfterBreak="0">
    <w:nsid w:val="3FBD746D"/>
    <w:multiLevelType w:val="hybridMultilevel"/>
    <w:tmpl w:val="866425E2"/>
    <w:lvl w:ilvl="0" w:tplc="0407000B">
      <w:start w:val="1"/>
      <w:numFmt w:val="bullet"/>
      <w:lvlText w:val=""/>
      <w:lvlJc w:val="left"/>
      <w:pPr>
        <w:ind w:left="928" w:hanging="360"/>
      </w:pPr>
      <w:rPr>
        <w:rFonts w:ascii="Wingdings" w:hAnsi="Wingding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7" w15:restartNumberingAfterBreak="0">
    <w:nsid w:val="41B92379"/>
    <w:multiLevelType w:val="hybridMultilevel"/>
    <w:tmpl w:val="0400B890"/>
    <w:lvl w:ilvl="0" w:tplc="04070005">
      <w:start w:val="1"/>
      <w:numFmt w:val="bullet"/>
      <w:lvlText w:val=""/>
      <w:lvlJc w:val="left"/>
      <w:pPr>
        <w:ind w:left="1211" w:hanging="360"/>
      </w:pPr>
      <w:rPr>
        <w:rFonts w:ascii="Wingdings" w:hAnsi="Wingdings" w:hint="default"/>
      </w:rPr>
    </w:lvl>
    <w:lvl w:ilvl="1" w:tplc="04070003">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8" w15:restartNumberingAfterBreak="0">
    <w:nsid w:val="4249245A"/>
    <w:multiLevelType w:val="hybridMultilevel"/>
    <w:tmpl w:val="B5946A28"/>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4D31423"/>
    <w:multiLevelType w:val="hybridMultilevel"/>
    <w:tmpl w:val="262479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237201"/>
    <w:multiLevelType w:val="hybridMultilevel"/>
    <w:tmpl w:val="C9D0CF8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928"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91684F"/>
    <w:multiLevelType w:val="hybridMultilevel"/>
    <w:tmpl w:val="D87A56B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C30E6A"/>
    <w:multiLevelType w:val="hybridMultilevel"/>
    <w:tmpl w:val="5B4492EE"/>
    <w:lvl w:ilvl="0" w:tplc="86085556">
      <w:start w:val="8"/>
      <w:numFmt w:val="bullet"/>
      <w:lvlText w:val="-"/>
      <w:lvlJc w:val="left"/>
      <w:pPr>
        <w:ind w:left="720" w:hanging="360"/>
      </w:pPr>
      <w:rPr>
        <w:rFonts w:ascii="Cambria" w:eastAsiaTheme="minorEastAsia" w:hAnsi="Cambria" w:cstheme="minorBidi" w:hint="default"/>
      </w:rPr>
    </w:lvl>
    <w:lvl w:ilvl="1" w:tplc="0407000B">
      <w:start w:val="1"/>
      <w:numFmt w:val="bullet"/>
      <w:lvlText w:val=""/>
      <w:lvlJc w:val="left"/>
      <w:pPr>
        <w:ind w:left="928"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3A4359"/>
    <w:multiLevelType w:val="hybridMultilevel"/>
    <w:tmpl w:val="F77E3AAE"/>
    <w:lvl w:ilvl="0" w:tplc="04070009">
      <w:start w:val="1"/>
      <w:numFmt w:val="bullet"/>
      <w:lvlText w:val=""/>
      <w:lvlJc w:val="left"/>
      <w:pPr>
        <w:ind w:left="502" w:hanging="360"/>
      </w:pPr>
      <w:rPr>
        <w:rFonts w:ascii="Wingdings" w:hAnsi="Wingdings" w:hint="default"/>
      </w:rPr>
    </w:lvl>
    <w:lvl w:ilvl="1" w:tplc="04070003">
      <w:start w:val="1"/>
      <w:numFmt w:val="bullet"/>
      <w:lvlText w:val="o"/>
      <w:lvlJc w:val="left"/>
      <w:pPr>
        <w:ind w:left="1222" w:hanging="360"/>
      </w:pPr>
      <w:rPr>
        <w:rFonts w:ascii="Courier New" w:hAnsi="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4" w15:restartNumberingAfterBreak="0">
    <w:nsid w:val="54D41658"/>
    <w:multiLevelType w:val="hybridMultilevel"/>
    <w:tmpl w:val="E4D8B28C"/>
    <w:lvl w:ilvl="0" w:tplc="04070009">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5" w15:restartNumberingAfterBreak="0">
    <w:nsid w:val="58197A92"/>
    <w:multiLevelType w:val="hybridMultilevel"/>
    <w:tmpl w:val="2BE08CF8"/>
    <w:lvl w:ilvl="0" w:tplc="0407000B">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6" w15:restartNumberingAfterBreak="0">
    <w:nsid w:val="5F7C631D"/>
    <w:multiLevelType w:val="hybridMultilevel"/>
    <w:tmpl w:val="42CE4F28"/>
    <w:lvl w:ilvl="0" w:tplc="04070005">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15:restartNumberingAfterBreak="0">
    <w:nsid w:val="60055DFD"/>
    <w:multiLevelType w:val="hybridMultilevel"/>
    <w:tmpl w:val="0A688716"/>
    <w:lvl w:ilvl="0" w:tplc="04070003">
      <w:start w:val="1"/>
      <w:numFmt w:val="bullet"/>
      <w:lvlText w:val="o"/>
      <w:lvlJc w:val="left"/>
      <w:pPr>
        <w:ind w:left="1648" w:hanging="360"/>
      </w:pPr>
      <w:rPr>
        <w:rFonts w:ascii="Courier New" w:hAnsi="Courier New" w:hint="default"/>
      </w:rPr>
    </w:lvl>
    <w:lvl w:ilvl="1" w:tplc="04070003" w:tentative="1">
      <w:start w:val="1"/>
      <w:numFmt w:val="bullet"/>
      <w:lvlText w:val="o"/>
      <w:lvlJc w:val="left"/>
      <w:pPr>
        <w:ind w:left="2368" w:hanging="360"/>
      </w:pPr>
      <w:rPr>
        <w:rFonts w:ascii="Courier New" w:hAnsi="Courier New" w:hint="default"/>
      </w:rPr>
    </w:lvl>
    <w:lvl w:ilvl="2" w:tplc="04070005" w:tentative="1">
      <w:start w:val="1"/>
      <w:numFmt w:val="bullet"/>
      <w:lvlText w:val=""/>
      <w:lvlJc w:val="left"/>
      <w:pPr>
        <w:ind w:left="3088" w:hanging="360"/>
      </w:pPr>
      <w:rPr>
        <w:rFonts w:ascii="Wingdings" w:hAnsi="Wingdings" w:hint="default"/>
      </w:rPr>
    </w:lvl>
    <w:lvl w:ilvl="3" w:tplc="04070001" w:tentative="1">
      <w:start w:val="1"/>
      <w:numFmt w:val="bullet"/>
      <w:lvlText w:val=""/>
      <w:lvlJc w:val="left"/>
      <w:pPr>
        <w:ind w:left="3808" w:hanging="360"/>
      </w:pPr>
      <w:rPr>
        <w:rFonts w:ascii="Symbol" w:hAnsi="Symbol" w:hint="default"/>
      </w:rPr>
    </w:lvl>
    <w:lvl w:ilvl="4" w:tplc="04070003" w:tentative="1">
      <w:start w:val="1"/>
      <w:numFmt w:val="bullet"/>
      <w:lvlText w:val="o"/>
      <w:lvlJc w:val="left"/>
      <w:pPr>
        <w:ind w:left="4528" w:hanging="360"/>
      </w:pPr>
      <w:rPr>
        <w:rFonts w:ascii="Courier New" w:hAnsi="Courier New" w:hint="default"/>
      </w:rPr>
    </w:lvl>
    <w:lvl w:ilvl="5" w:tplc="04070005" w:tentative="1">
      <w:start w:val="1"/>
      <w:numFmt w:val="bullet"/>
      <w:lvlText w:val=""/>
      <w:lvlJc w:val="left"/>
      <w:pPr>
        <w:ind w:left="5248" w:hanging="360"/>
      </w:pPr>
      <w:rPr>
        <w:rFonts w:ascii="Wingdings" w:hAnsi="Wingdings" w:hint="default"/>
      </w:rPr>
    </w:lvl>
    <w:lvl w:ilvl="6" w:tplc="04070001" w:tentative="1">
      <w:start w:val="1"/>
      <w:numFmt w:val="bullet"/>
      <w:lvlText w:val=""/>
      <w:lvlJc w:val="left"/>
      <w:pPr>
        <w:ind w:left="5968" w:hanging="360"/>
      </w:pPr>
      <w:rPr>
        <w:rFonts w:ascii="Symbol" w:hAnsi="Symbol" w:hint="default"/>
      </w:rPr>
    </w:lvl>
    <w:lvl w:ilvl="7" w:tplc="04070003" w:tentative="1">
      <w:start w:val="1"/>
      <w:numFmt w:val="bullet"/>
      <w:lvlText w:val="o"/>
      <w:lvlJc w:val="left"/>
      <w:pPr>
        <w:ind w:left="6688" w:hanging="360"/>
      </w:pPr>
      <w:rPr>
        <w:rFonts w:ascii="Courier New" w:hAnsi="Courier New" w:hint="default"/>
      </w:rPr>
    </w:lvl>
    <w:lvl w:ilvl="8" w:tplc="04070005" w:tentative="1">
      <w:start w:val="1"/>
      <w:numFmt w:val="bullet"/>
      <w:lvlText w:val=""/>
      <w:lvlJc w:val="left"/>
      <w:pPr>
        <w:ind w:left="7408" w:hanging="360"/>
      </w:pPr>
      <w:rPr>
        <w:rFonts w:ascii="Wingdings" w:hAnsi="Wingdings" w:hint="default"/>
      </w:rPr>
    </w:lvl>
  </w:abstractNum>
  <w:abstractNum w:abstractNumId="28" w15:restartNumberingAfterBreak="0">
    <w:nsid w:val="659675E4"/>
    <w:multiLevelType w:val="hybridMultilevel"/>
    <w:tmpl w:val="101C863C"/>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ED47FCA"/>
    <w:multiLevelType w:val="hybridMultilevel"/>
    <w:tmpl w:val="6EAAEC9A"/>
    <w:lvl w:ilvl="0" w:tplc="04070005">
      <w:start w:val="1"/>
      <w:numFmt w:val="bullet"/>
      <w:lvlText w:val=""/>
      <w:lvlJc w:val="left"/>
      <w:pPr>
        <w:ind w:left="2008" w:hanging="360"/>
      </w:pPr>
      <w:rPr>
        <w:rFonts w:ascii="Wingdings" w:hAnsi="Wingdings" w:hint="default"/>
      </w:rPr>
    </w:lvl>
    <w:lvl w:ilvl="1" w:tplc="04070005">
      <w:start w:val="1"/>
      <w:numFmt w:val="bullet"/>
      <w:lvlText w:val=""/>
      <w:lvlJc w:val="left"/>
      <w:pPr>
        <w:ind w:left="1211" w:hanging="360"/>
      </w:pPr>
      <w:rPr>
        <w:rFonts w:ascii="Wingdings" w:hAnsi="Wingdings" w:hint="default"/>
      </w:rPr>
    </w:lvl>
    <w:lvl w:ilvl="2" w:tplc="04070005" w:tentative="1">
      <w:start w:val="1"/>
      <w:numFmt w:val="bullet"/>
      <w:lvlText w:val=""/>
      <w:lvlJc w:val="left"/>
      <w:pPr>
        <w:ind w:left="3448" w:hanging="360"/>
      </w:pPr>
      <w:rPr>
        <w:rFonts w:ascii="Wingdings" w:hAnsi="Wingdings" w:hint="default"/>
      </w:rPr>
    </w:lvl>
    <w:lvl w:ilvl="3" w:tplc="04070001" w:tentative="1">
      <w:start w:val="1"/>
      <w:numFmt w:val="bullet"/>
      <w:lvlText w:val=""/>
      <w:lvlJc w:val="left"/>
      <w:pPr>
        <w:ind w:left="4168" w:hanging="360"/>
      </w:pPr>
      <w:rPr>
        <w:rFonts w:ascii="Symbol" w:hAnsi="Symbol" w:hint="default"/>
      </w:rPr>
    </w:lvl>
    <w:lvl w:ilvl="4" w:tplc="04070003" w:tentative="1">
      <w:start w:val="1"/>
      <w:numFmt w:val="bullet"/>
      <w:lvlText w:val="o"/>
      <w:lvlJc w:val="left"/>
      <w:pPr>
        <w:ind w:left="4888" w:hanging="360"/>
      </w:pPr>
      <w:rPr>
        <w:rFonts w:ascii="Courier New" w:hAnsi="Courier New" w:hint="default"/>
      </w:rPr>
    </w:lvl>
    <w:lvl w:ilvl="5" w:tplc="04070005" w:tentative="1">
      <w:start w:val="1"/>
      <w:numFmt w:val="bullet"/>
      <w:lvlText w:val=""/>
      <w:lvlJc w:val="left"/>
      <w:pPr>
        <w:ind w:left="5608" w:hanging="360"/>
      </w:pPr>
      <w:rPr>
        <w:rFonts w:ascii="Wingdings" w:hAnsi="Wingdings" w:hint="default"/>
      </w:rPr>
    </w:lvl>
    <w:lvl w:ilvl="6" w:tplc="04070001" w:tentative="1">
      <w:start w:val="1"/>
      <w:numFmt w:val="bullet"/>
      <w:lvlText w:val=""/>
      <w:lvlJc w:val="left"/>
      <w:pPr>
        <w:ind w:left="6328" w:hanging="360"/>
      </w:pPr>
      <w:rPr>
        <w:rFonts w:ascii="Symbol" w:hAnsi="Symbol" w:hint="default"/>
      </w:rPr>
    </w:lvl>
    <w:lvl w:ilvl="7" w:tplc="04070003" w:tentative="1">
      <w:start w:val="1"/>
      <w:numFmt w:val="bullet"/>
      <w:lvlText w:val="o"/>
      <w:lvlJc w:val="left"/>
      <w:pPr>
        <w:ind w:left="7048" w:hanging="360"/>
      </w:pPr>
      <w:rPr>
        <w:rFonts w:ascii="Courier New" w:hAnsi="Courier New" w:hint="default"/>
      </w:rPr>
    </w:lvl>
    <w:lvl w:ilvl="8" w:tplc="04070005" w:tentative="1">
      <w:start w:val="1"/>
      <w:numFmt w:val="bullet"/>
      <w:lvlText w:val=""/>
      <w:lvlJc w:val="left"/>
      <w:pPr>
        <w:ind w:left="7768" w:hanging="360"/>
      </w:pPr>
      <w:rPr>
        <w:rFonts w:ascii="Wingdings" w:hAnsi="Wingdings" w:hint="default"/>
      </w:rPr>
    </w:lvl>
  </w:abstractNum>
  <w:abstractNum w:abstractNumId="30" w15:restartNumberingAfterBreak="0">
    <w:nsid w:val="778A30D5"/>
    <w:multiLevelType w:val="hybridMultilevel"/>
    <w:tmpl w:val="7EE24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4"/>
  </w:num>
  <w:num w:numId="3">
    <w:abstractNumId w:val="6"/>
  </w:num>
  <w:num w:numId="4">
    <w:abstractNumId w:val="4"/>
  </w:num>
  <w:num w:numId="5">
    <w:abstractNumId w:val="30"/>
  </w:num>
  <w:num w:numId="6">
    <w:abstractNumId w:val="5"/>
  </w:num>
  <w:num w:numId="7">
    <w:abstractNumId w:val="3"/>
  </w:num>
  <w:num w:numId="8">
    <w:abstractNumId w:val="1"/>
  </w:num>
  <w:num w:numId="9">
    <w:abstractNumId w:val="2"/>
  </w:num>
  <w:num w:numId="10">
    <w:abstractNumId w:val="10"/>
  </w:num>
  <w:num w:numId="11">
    <w:abstractNumId w:val="13"/>
  </w:num>
  <w:num w:numId="12">
    <w:abstractNumId w:val="11"/>
  </w:num>
  <w:num w:numId="13">
    <w:abstractNumId w:val="28"/>
  </w:num>
  <w:num w:numId="14">
    <w:abstractNumId w:val="23"/>
  </w:num>
  <w:num w:numId="15">
    <w:abstractNumId w:val="22"/>
  </w:num>
  <w:num w:numId="16">
    <w:abstractNumId w:val="9"/>
  </w:num>
  <w:num w:numId="17">
    <w:abstractNumId w:val="12"/>
  </w:num>
  <w:num w:numId="18">
    <w:abstractNumId w:val="7"/>
  </w:num>
  <w:num w:numId="19">
    <w:abstractNumId w:val="18"/>
  </w:num>
  <w:num w:numId="20">
    <w:abstractNumId w:val="24"/>
  </w:num>
  <w:num w:numId="21">
    <w:abstractNumId w:val="21"/>
  </w:num>
  <w:num w:numId="22">
    <w:abstractNumId w:val="0"/>
  </w:num>
  <w:num w:numId="23">
    <w:abstractNumId w:val="16"/>
  </w:num>
  <w:num w:numId="24">
    <w:abstractNumId w:val="25"/>
  </w:num>
  <w:num w:numId="25">
    <w:abstractNumId w:val="8"/>
  </w:num>
  <w:num w:numId="26">
    <w:abstractNumId w:val="20"/>
  </w:num>
  <w:num w:numId="27">
    <w:abstractNumId w:val="27"/>
  </w:num>
  <w:num w:numId="28">
    <w:abstractNumId w:val="17"/>
  </w:num>
  <w:num w:numId="29">
    <w:abstractNumId w:val="29"/>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D34"/>
    <w:rsid w:val="00081F97"/>
    <w:rsid w:val="00085845"/>
    <w:rsid w:val="00085B94"/>
    <w:rsid w:val="000E2903"/>
    <w:rsid w:val="000F56AB"/>
    <w:rsid w:val="00111F08"/>
    <w:rsid w:val="001635D7"/>
    <w:rsid w:val="00171BFB"/>
    <w:rsid w:val="00224A91"/>
    <w:rsid w:val="00235A05"/>
    <w:rsid w:val="0024066A"/>
    <w:rsid w:val="0029197E"/>
    <w:rsid w:val="003A33DB"/>
    <w:rsid w:val="003C30FD"/>
    <w:rsid w:val="004441F8"/>
    <w:rsid w:val="004D6A35"/>
    <w:rsid w:val="004E4D96"/>
    <w:rsid w:val="004F4AA8"/>
    <w:rsid w:val="00521AB2"/>
    <w:rsid w:val="0052425D"/>
    <w:rsid w:val="0053132F"/>
    <w:rsid w:val="00596866"/>
    <w:rsid w:val="005A5CF4"/>
    <w:rsid w:val="005F0F48"/>
    <w:rsid w:val="005F5675"/>
    <w:rsid w:val="00613D19"/>
    <w:rsid w:val="00695DB3"/>
    <w:rsid w:val="006A01D3"/>
    <w:rsid w:val="006D6B18"/>
    <w:rsid w:val="006E281E"/>
    <w:rsid w:val="007220A4"/>
    <w:rsid w:val="00735057"/>
    <w:rsid w:val="00735D34"/>
    <w:rsid w:val="00764589"/>
    <w:rsid w:val="007D5D9E"/>
    <w:rsid w:val="008615D0"/>
    <w:rsid w:val="008E4C61"/>
    <w:rsid w:val="008E62C6"/>
    <w:rsid w:val="009270FA"/>
    <w:rsid w:val="00927480"/>
    <w:rsid w:val="00942AAD"/>
    <w:rsid w:val="00972903"/>
    <w:rsid w:val="009B7ACE"/>
    <w:rsid w:val="00A030EE"/>
    <w:rsid w:val="00A33EE2"/>
    <w:rsid w:val="00A40D71"/>
    <w:rsid w:val="00A54A7D"/>
    <w:rsid w:val="00AC2A4A"/>
    <w:rsid w:val="00AF4A93"/>
    <w:rsid w:val="00B1557E"/>
    <w:rsid w:val="00B23F5F"/>
    <w:rsid w:val="00C3716A"/>
    <w:rsid w:val="00C54982"/>
    <w:rsid w:val="00C60A52"/>
    <w:rsid w:val="00C80BBA"/>
    <w:rsid w:val="00CA292B"/>
    <w:rsid w:val="00CD395E"/>
    <w:rsid w:val="00CE2F33"/>
    <w:rsid w:val="00D050BF"/>
    <w:rsid w:val="00D35DA7"/>
    <w:rsid w:val="00D364ED"/>
    <w:rsid w:val="00D5069D"/>
    <w:rsid w:val="00D601B1"/>
    <w:rsid w:val="00D90D31"/>
    <w:rsid w:val="00D97A8B"/>
    <w:rsid w:val="00E0224C"/>
    <w:rsid w:val="00E37604"/>
    <w:rsid w:val="00E804E3"/>
    <w:rsid w:val="00E92B28"/>
    <w:rsid w:val="00E97234"/>
    <w:rsid w:val="00EB1076"/>
    <w:rsid w:val="00EC7621"/>
    <w:rsid w:val="00F07160"/>
    <w:rsid w:val="00F17243"/>
    <w:rsid w:val="00F25257"/>
    <w:rsid w:val="00F406D8"/>
    <w:rsid w:val="00F523D6"/>
    <w:rsid w:val="00FC37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2C237"/>
  <w14:defaultImageDpi w14:val="300"/>
  <w15:docId w15:val="{FCE93132-FF0A-574A-B66C-9A51A8C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D34"/>
    <w:pPr>
      <w:ind w:left="720"/>
      <w:contextualSpacing/>
    </w:pPr>
  </w:style>
  <w:style w:type="table" w:styleId="Tabellenraster">
    <w:name w:val="Table Grid"/>
    <w:basedOn w:val="NormaleTabelle"/>
    <w:uiPriority w:val="59"/>
    <w:rsid w:val="00F1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066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4066A"/>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4066A"/>
    <w:rPr>
      <w:sz w:val="18"/>
      <w:szCs w:val="18"/>
    </w:rPr>
  </w:style>
  <w:style w:type="paragraph" w:styleId="Kommentartext">
    <w:name w:val="annotation text"/>
    <w:basedOn w:val="Standard"/>
    <w:link w:val="KommentartextZchn"/>
    <w:uiPriority w:val="99"/>
    <w:semiHidden/>
    <w:unhideWhenUsed/>
    <w:rsid w:val="0024066A"/>
  </w:style>
  <w:style w:type="character" w:customStyle="1" w:styleId="KommentartextZchn">
    <w:name w:val="Kommentartext Zchn"/>
    <w:basedOn w:val="Absatz-Standardschriftart"/>
    <w:link w:val="Kommentartext"/>
    <w:uiPriority w:val="99"/>
    <w:semiHidden/>
    <w:rsid w:val="0024066A"/>
  </w:style>
  <w:style w:type="paragraph" w:styleId="Kommentarthema">
    <w:name w:val="annotation subject"/>
    <w:basedOn w:val="Kommentartext"/>
    <w:next w:val="Kommentartext"/>
    <w:link w:val="KommentarthemaZchn"/>
    <w:uiPriority w:val="99"/>
    <w:semiHidden/>
    <w:unhideWhenUsed/>
    <w:rsid w:val="0024066A"/>
    <w:rPr>
      <w:b/>
      <w:bCs/>
      <w:sz w:val="20"/>
      <w:szCs w:val="20"/>
    </w:rPr>
  </w:style>
  <w:style w:type="character" w:customStyle="1" w:styleId="KommentarthemaZchn">
    <w:name w:val="Kommentarthema Zchn"/>
    <w:basedOn w:val="KommentartextZchn"/>
    <w:link w:val="Kommentarthema"/>
    <w:uiPriority w:val="99"/>
    <w:semiHidden/>
    <w:rsid w:val="0024066A"/>
    <w:rPr>
      <w:b/>
      <w:bCs/>
      <w:sz w:val="20"/>
      <w:szCs w:val="20"/>
    </w:rPr>
  </w:style>
  <w:style w:type="paragraph" w:styleId="Funotentext">
    <w:name w:val="footnote text"/>
    <w:basedOn w:val="Standard"/>
    <w:link w:val="FunotentextZchn"/>
    <w:uiPriority w:val="99"/>
    <w:unhideWhenUsed/>
    <w:rsid w:val="00085B94"/>
  </w:style>
  <w:style w:type="character" w:customStyle="1" w:styleId="FunotentextZchn">
    <w:name w:val="Fußnotentext Zchn"/>
    <w:basedOn w:val="Absatz-Standardschriftart"/>
    <w:link w:val="Funotentext"/>
    <w:uiPriority w:val="99"/>
    <w:rsid w:val="00085B94"/>
  </w:style>
  <w:style w:type="character" w:styleId="Funotenzeichen">
    <w:name w:val="footnote reference"/>
    <w:basedOn w:val="Absatz-Standardschriftart"/>
    <w:uiPriority w:val="99"/>
    <w:unhideWhenUsed/>
    <w:rsid w:val="00085B94"/>
    <w:rPr>
      <w:vertAlign w:val="superscript"/>
    </w:rPr>
  </w:style>
  <w:style w:type="paragraph" w:styleId="Kopfzeile">
    <w:name w:val="header"/>
    <w:basedOn w:val="Standard"/>
    <w:link w:val="KopfzeileZchn"/>
    <w:uiPriority w:val="99"/>
    <w:unhideWhenUsed/>
    <w:rsid w:val="00CD395E"/>
    <w:pPr>
      <w:tabs>
        <w:tab w:val="center" w:pos="4536"/>
        <w:tab w:val="right" w:pos="9072"/>
      </w:tabs>
    </w:pPr>
  </w:style>
  <w:style w:type="character" w:customStyle="1" w:styleId="KopfzeileZchn">
    <w:name w:val="Kopfzeile Zchn"/>
    <w:basedOn w:val="Absatz-Standardschriftart"/>
    <w:link w:val="Kopfzeile"/>
    <w:uiPriority w:val="99"/>
    <w:rsid w:val="00CD395E"/>
  </w:style>
  <w:style w:type="paragraph" w:styleId="Fuzeile">
    <w:name w:val="footer"/>
    <w:basedOn w:val="Standard"/>
    <w:link w:val="FuzeileZchn"/>
    <w:uiPriority w:val="99"/>
    <w:unhideWhenUsed/>
    <w:rsid w:val="00CD395E"/>
    <w:pPr>
      <w:tabs>
        <w:tab w:val="center" w:pos="4536"/>
        <w:tab w:val="right" w:pos="9072"/>
      </w:tabs>
    </w:pPr>
  </w:style>
  <w:style w:type="character" w:customStyle="1" w:styleId="FuzeileZchn">
    <w:name w:val="Fußzeile Zchn"/>
    <w:basedOn w:val="Absatz-Standardschriftart"/>
    <w:link w:val="Fuzeile"/>
    <w:uiPriority w:val="99"/>
    <w:rsid w:val="00CD395E"/>
  </w:style>
  <w:style w:type="table" w:styleId="MittlereListe1">
    <w:name w:val="Medium List 1"/>
    <w:basedOn w:val="NormaleTabelle"/>
    <w:uiPriority w:val="65"/>
    <w:rsid w:val="004E4D9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671380">
      <w:bodyDiv w:val="1"/>
      <w:marLeft w:val="0"/>
      <w:marRight w:val="0"/>
      <w:marTop w:val="0"/>
      <w:marBottom w:val="0"/>
      <w:divBdr>
        <w:top w:val="none" w:sz="0" w:space="0" w:color="auto"/>
        <w:left w:val="none" w:sz="0" w:space="0" w:color="auto"/>
        <w:bottom w:val="none" w:sz="0" w:space="0" w:color="auto"/>
        <w:right w:val="none" w:sz="0" w:space="0" w:color="auto"/>
      </w:divBdr>
    </w:div>
    <w:div w:id="1449163538">
      <w:bodyDiv w:val="1"/>
      <w:marLeft w:val="0"/>
      <w:marRight w:val="0"/>
      <w:marTop w:val="0"/>
      <w:marBottom w:val="0"/>
      <w:divBdr>
        <w:top w:val="none" w:sz="0" w:space="0" w:color="auto"/>
        <w:left w:val="none" w:sz="0" w:space="0" w:color="auto"/>
        <w:bottom w:val="none" w:sz="0" w:space="0" w:color="auto"/>
        <w:right w:val="none" w:sz="0" w:space="0" w:color="auto"/>
      </w:divBdr>
    </w:div>
    <w:div w:id="1740394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9BC1-9A5E-4A45-B197-7CC0ED05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2818</Words>
  <Characters>17756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Eurosoc#Digital</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Eurosoc Digital</dc:creator>
  <cp:keywords/>
  <dc:description/>
  <cp:lastModifiedBy>Microsoft Office-Benutzer</cp:lastModifiedBy>
  <cp:revision>26</cp:revision>
  <cp:lastPrinted>2018-02-28T16:19:00Z</cp:lastPrinted>
  <dcterms:created xsi:type="dcterms:W3CDTF">2018-02-12T14:05:00Z</dcterms:created>
  <dcterms:modified xsi:type="dcterms:W3CDTF">2018-07-31T08:33:00Z</dcterms:modified>
</cp:coreProperties>
</file>